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F0D8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天津农学院2025年招收港澳台学生简章</w:t>
      </w:r>
      <w:r>
        <w:rPr>
          <w:rFonts w:hint="eastAsia" w:ascii="SimSun" w:hAnsi="SimSun" w:eastAsia="SimSun" w:cs="SimSun"/>
          <w:b/>
          <w:bCs/>
          <w:i w:val="0"/>
          <w:iCs w:val="0"/>
          <w:caps w:val="0"/>
          <w:color w:val="002F5E"/>
          <w:spacing w:val="0"/>
          <w:sz w:val="24"/>
          <w:szCs w:val="24"/>
          <w:shd w:val="clear" w:fill="FFFFFF"/>
        </w:rPr>
        <w:br w:type="textWrapping"/>
      </w:r>
      <w:r>
        <w:rPr>
          <w:rFonts w:hint="eastAsia" w:ascii="SimSun" w:hAnsi="SimSun" w:eastAsia="SimSun" w:cs="SimSun"/>
          <w:b/>
          <w:bCs/>
          <w:i w:val="0"/>
          <w:iCs w:val="0"/>
          <w:caps w:val="0"/>
          <w:color w:val="002F5E"/>
          <w:spacing w:val="0"/>
          <w:sz w:val="24"/>
          <w:szCs w:val="24"/>
          <w:shd w:val="clear" w:fill="FFFFFF"/>
        </w:rPr>
        <w:t>一、报名资格</w:t>
      </w:r>
    </w:p>
    <w:p w14:paraId="141069D5">
      <w:pPr>
        <w:rPr>
          <w:rFonts w:hint="eastAsia" w:ascii="SimSun" w:hAnsi="SimSun" w:eastAsia="SimSun" w:cs="SimSun"/>
          <w:b/>
          <w:bCs/>
          <w:i w:val="0"/>
          <w:iCs w:val="0"/>
          <w:caps w:val="0"/>
          <w:color w:val="002F5E"/>
          <w:spacing w:val="0"/>
          <w:sz w:val="24"/>
          <w:szCs w:val="24"/>
          <w:shd w:val="clear" w:fill="FFFFFF"/>
        </w:rPr>
      </w:pPr>
    </w:p>
    <w:p w14:paraId="71E36FA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考生应按照《2025年普通高等学校依据台湾地区大学入学考试学科能力测试成绩招收台湾高中毕业生办法》中规定的报考条件、时间、地点和要求报名。</w:t>
      </w:r>
      <w:bookmarkStart w:id="0" w:name="_GoBack"/>
      <w:r>
        <w:rPr>
          <w:rFonts w:hint="eastAsia" w:ascii="SimSun" w:hAnsi="SimSun" w:eastAsia="SimSun" w:cs="SimSun"/>
          <w:b/>
          <w:bCs/>
          <w:i w:val="0"/>
          <w:iCs w:val="0"/>
          <w:caps w:val="0"/>
          <w:color w:val="002F5E"/>
          <w:spacing w:val="0"/>
          <w:sz w:val="24"/>
          <w:szCs w:val="24"/>
          <w:shd w:val="clear" w:fill="FFFFFF"/>
        </w:rPr>
        <w:t>语文、英文、数字（数学A或数学B）成绩均达到均标级（含）以上</w:t>
      </w:r>
      <w:bookmarkEnd w:id="0"/>
      <w:r>
        <w:rPr>
          <w:rFonts w:hint="eastAsia" w:ascii="SimSun" w:hAnsi="SimSun" w:eastAsia="SimSun" w:cs="SimSun"/>
          <w:b/>
          <w:bCs/>
          <w:i w:val="0"/>
          <w:iCs w:val="0"/>
          <w:caps w:val="0"/>
          <w:color w:val="002F5E"/>
          <w:spacing w:val="0"/>
          <w:sz w:val="24"/>
          <w:szCs w:val="24"/>
          <w:shd w:val="clear" w:fill="FFFFFF"/>
        </w:rPr>
        <w:t>。</w:t>
      </w:r>
    </w:p>
    <w:p w14:paraId="5397304D">
      <w:pPr>
        <w:rPr>
          <w:rFonts w:hint="eastAsia" w:ascii="SimSun" w:hAnsi="SimSun" w:eastAsia="SimSun" w:cs="SimSun"/>
          <w:b/>
          <w:bCs/>
          <w:i w:val="0"/>
          <w:iCs w:val="0"/>
          <w:caps w:val="0"/>
          <w:color w:val="002F5E"/>
          <w:spacing w:val="0"/>
          <w:sz w:val="24"/>
          <w:szCs w:val="24"/>
          <w:shd w:val="clear" w:fill="FFFFFF"/>
        </w:rPr>
      </w:pPr>
    </w:p>
    <w:p w14:paraId="2EF68B7D">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二、招生名额和专业选择</w:t>
      </w:r>
    </w:p>
    <w:p w14:paraId="340418CD">
      <w:pPr>
        <w:rPr>
          <w:rFonts w:hint="eastAsia" w:ascii="SimSun" w:hAnsi="SimSun" w:eastAsia="SimSun" w:cs="SimSun"/>
          <w:b/>
          <w:bCs/>
          <w:i w:val="0"/>
          <w:iCs w:val="0"/>
          <w:caps w:val="0"/>
          <w:color w:val="002F5E"/>
          <w:spacing w:val="0"/>
          <w:sz w:val="24"/>
          <w:szCs w:val="24"/>
          <w:shd w:val="clear" w:fill="FFFFFF"/>
        </w:rPr>
      </w:pPr>
    </w:p>
    <w:p w14:paraId="3B71DCDD">
      <w:pPr>
        <w:rPr>
          <w:rFonts w:hint="eastAsia" w:ascii="SimSun" w:hAnsi="SimSun" w:eastAsia="SimSun" w:cs="SimSun"/>
          <w:b/>
          <w:bCs/>
          <w:i w:val="0"/>
          <w:iCs w:val="0"/>
          <w:caps w:val="0"/>
          <w:color w:val="002F5E"/>
          <w:spacing w:val="0"/>
          <w:sz w:val="24"/>
          <w:szCs w:val="24"/>
          <w:shd w:val="clear" w:fill="FFFFFF"/>
        </w:rPr>
      </w:pPr>
    </w:p>
    <w:p w14:paraId="4C1654C6">
      <w:pPr>
        <w:rPr>
          <w:rFonts w:hint="eastAsia" w:ascii="SimSun" w:hAnsi="SimSun" w:eastAsia="SimSun" w:cs="SimSun"/>
          <w:b/>
          <w:bCs/>
          <w:i w:val="0"/>
          <w:iCs w:val="0"/>
          <w:caps w:val="0"/>
          <w:color w:val="002F5E"/>
          <w:spacing w:val="0"/>
          <w:sz w:val="24"/>
          <w:szCs w:val="24"/>
          <w:shd w:val="clear" w:fill="FFFFFF"/>
        </w:rPr>
      </w:pPr>
    </w:p>
    <w:p w14:paraId="0A10D260">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2025年我校计划招收港澳台学生5名，在本科批次进行录取，招生专业详见《天津农学院2025年招收港澳台学生本科招生专业一览表》。</w:t>
      </w:r>
    </w:p>
    <w:p w14:paraId="5F414C35">
      <w:pPr>
        <w:rPr>
          <w:rFonts w:hint="eastAsia" w:ascii="SimSun" w:hAnsi="SimSun" w:eastAsia="SimSun" w:cs="SimSun"/>
          <w:b/>
          <w:bCs/>
          <w:i w:val="0"/>
          <w:iCs w:val="0"/>
          <w:caps w:val="0"/>
          <w:color w:val="002F5E"/>
          <w:spacing w:val="0"/>
          <w:sz w:val="24"/>
          <w:szCs w:val="24"/>
          <w:shd w:val="clear" w:fill="FFFFFF"/>
        </w:rPr>
      </w:pPr>
    </w:p>
    <w:p w14:paraId="5574BC21">
      <w:pPr>
        <w:rPr>
          <w:rFonts w:hint="eastAsia" w:ascii="SimSun" w:hAnsi="SimSun" w:eastAsia="SimSun" w:cs="SimSun"/>
          <w:b/>
          <w:bCs/>
          <w:i w:val="0"/>
          <w:iCs w:val="0"/>
          <w:caps w:val="0"/>
          <w:color w:val="002F5E"/>
          <w:spacing w:val="0"/>
          <w:sz w:val="24"/>
          <w:szCs w:val="24"/>
          <w:shd w:val="clear" w:fill="FFFFFF"/>
        </w:rPr>
      </w:pPr>
    </w:p>
    <w:p w14:paraId="08BA62C8">
      <w:pPr>
        <w:rPr>
          <w:rFonts w:hint="eastAsia" w:ascii="SimSun" w:hAnsi="SimSun" w:eastAsia="SimSun" w:cs="SimSun"/>
          <w:b/>
          <w:bCs/>
          <w:i w:val="0"/>
          <w:iCs w:val="0"/>
          <w:caps w:val="0"/>
          <w:color w:val="002F5E"/>
          <w:spacing w:val="0"/>
          <w:sz w:val="24"/>
          <w:szCs w:val="24"/>
          <w:shd w:val="clear" w:fill="FFFFFF"/>
        </w:rPr>
      </w:pPr>
    </w:p>
    <w:p w14:paraId="61BBC2C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三、录取原则</w:t>
      </w:r>
    </w:p>
    <w:p w14:paraId="04227E92">
      <w:pPr>
        <w:rPr>
          <w:rFonts w:hint="eastAsia" w:ascii="SimSun" w:hAnsi="SimSun" w:eastAsia="SimSun" w:cs="SimSun"/>
          <w:b/>
          <w:bCs/>
          <w:i w:val="0"/>
          <w:iCs w:val="0"/>
          <w:caps w:val="0"/>
          <w:color w:val="002F5E"/>
          <w:spacing w:val="0"/>
          <w:sz w:val="24"/>
          <w:szCs w:val="24"/>
          <w:shd w:val="clear" w:fill="FFFFFF"/>
        </w:rPr>
      </w:pPr>
    </w:p>
    <w:p w14:paraId="75CB31E1">
      <w:pPr>
        <w:rPr>
          <w:rFonts w:hint="eastAsia" w:ascii="SimSun" w:hAnsi="SimSun" w:eastAsia="SimSun" w:cs="SimSun"/>
          <w:b/>
          <w:bCs/>
          <w:i w:val="0"/>
          <w:iCs w:val="0"/>
          <w:caps w:val="0"/>
          <w:color w:val="002F5E"/>
          <w:spacing w:val="0"/>
          <w:sz w:val="24"/>
          <w:szCs w:val="24"/>
          <w:shd w:val="clear" w:fill="FFFFFF"/>
        </w:rPr>
      </w:pPr>
    </w:p>
    <w:p w14:paraId="02FDB3FE">
      <w:pPr>
        <w:rPr>
          <w:rFonts w:hint="eastAsia" w:ascii="SimSun" w:hAnsi="SimSun" w:eastAsia="SimSun" w:cs="SimSun"/>
          <w:b/>
          <w:bCs/>
          <w:i w:val="0"/>
          <w:iCs w:val="0"/>
          <w:caps w:val="0"/>
          <w:color w:val="002F5E"/>
          <w:spacing w:val="0"/>
          <w:sz w:val="24"/>
          <w:szCs w:val="24"/>
          <w:shd w:val="clear" w:fill="FFFFFF"/>
        </w:rPr>
      </w:pPr>
    </w:p>
    <w:p w14:paraId="06056E97">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考生须参加中华人民共和国普通高等学校联合招收华侨港澳台学生入学考试，我校将按照规定时间在本科批次进行录取。考生若达到规定的录取要求，学校将在中华人民共和国普通高等学校联合招收华侨港澳台学生办公室划定的投档线上根据考生成绩和所报专业择优录取，并按照考生填报的志愿依次分配专业。</w:t>
      </w:r>
    </w:p>
    <w:p w14:paraId="27DB9957">
      <w:pPr>
        <w:rPr>
          <w:rFonts w:hint="eastAsia" w:ascii="SimSun" w:hAnsi="SimSun" w:eastAsia="SimSun" w:cs="SimSun"/>
          <w:b/>
          <w:bCs/>
          <w:i w:val="0"/>
          <w:iCs w:val="0"/>
          <w:caps w:val="0"/>
          <w:color w:val="002F5E"/>
          <w:spacing w:val="0"/>
          <w:sz w:val="24"/>
          <w:szCs w:val="24"/>
          <w:shd w:val="clear" w:fill="FFFFFF"/>
        </w:rPr>
      </w:pPr>
    </w:p>
    <w:p w14:paraId="592B92E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四、收费标准</w:t>
      </w:r>
    </w:p>
    <w:p w14:paraId="38511299">
      <w:pPr>
        <w:rPr>
          <w:rFonts w:hint="eastAsia" w:ascii="SimSun" w:hAnsi="SimSun" w:eastAsia="SimSun" w:cs="SimSun"/>
          <w:b/>
          <w:bCs/>
          <w:i w:val="0"/>
          <w:iCs w:val="0"/>
          <w:caps w:val="0"/>
          <w:color w:val="002F5E"/>
          <w:spacing w:val="0"/>
          <w:sz w:val="24"/>
          <w:szCs w:val="24"/>
          <w:shd w:val="clear" w:fill="FFFFFF"/>
        </w:rPr>
      </w:pPr>
    </w:p>
    <w:p w14:paraId="73526F4D">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被我校录取的港澳台学生入学注册时，应按照学校规定缴纳学费和杂费，收费标准与内地（大陆）学生相同。</w:t>
      </w:r>
    </w:p>
    <w:p w14:paraId="71FDBD6D">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学费：环境科学、生物技术专业5400元/人•年；农学、种子科学与工程、菌物科学与工程、林学、园林、园艺、设施农业科学与工程、植物保护、动物科学、动物医学、动物药学、海洋渔业科学与技术、水产养殖学、水族科学与技术专业4400元/人•年。  </w:t>
      </w:r>
    </w:p>
    <w:p w14:paraId="0E6C1EC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住宿费：港澳台学生原则上与内地（大陆）学生统一安排住宿，住宿费为1000元/人•年。</w:t>
      </w:r>
    </w:p>
    <w:p w14:paraId="7D30F8E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其他费用：参照内地（大陆）学生收费标准执行。收费标准如有变化，依据天津市物价局规定执行。</w:t>
      </w:r>
    </w:p>
    <w:p w14:paraId="23E5A632">
      <w:pPr>
        <w:rPr>
          <w:rFonts w:hint="eastAsia" w:ascii="SimSun" w:hAnsi="SimSun" w:eastAsia="SimSun" w:cs="SimSun"/>
          <w:b/>
          <w:bCs/>
          <w:i w:val="0"/>
          <w:iCs w:val="0"/>
          <w:caps w:val="0"/>
          <w:color w:val="002F5E"/>
          <w:spacing w:val="0"/>
          <w:sz w:val="24"/>
          <w:szCs w:val="24"/>
          <w:shd w:val="clear" w:fill="FFFFFF"/>
        </w:rPr>
      </w:pPr>
    </w:p>
    <w:p w14:paraId="3FA5AC75">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五、入学及在校管理  </w:t>
      </w:r>
    </w:p>
    <w:p w14:paraId="7E928CA6">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1．被我校录取的港澳台学生请按照录取通知书规定的时间到学校报到，具体事宜请参考《天津农学院新生入学须知》。</w:t>
      </w:r>
    </w:p>
    <w:p w14:paraId="649984CB">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2．新生入校后须进行入学资格审查，凡不符合报名、录取条件或弄虚作假者，将被取消入学资格。</w:t>
      </w:r>
    </w:p>
    <w:p w14:paraId="51FC0A13">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3．港澳台学生的教育和管理均按我校本科内地（大陆）学生相关规定执行。</w:t>
      </w:r>
    </w:p>
    <w:p w14:paraId="61588009">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六、奖学金制度</w:t>
      </w:r>
    </w:p>
    <w:p w14:paraId="1FC73BC0">
      <w:pPr>
        <w:rPr>
          <w:rFonts w:hint="eastAsia" w:ascii="SimSun" w:hAnsi="SimSun" w:eastAsia="SimSun" w:cs="SimSun"/>
          <w:b/>
          <w:bCs/>
          <w:i w:val="0"/>
          <w:iCs w:val="0"/>
          <w:caps w:val="0"/>
          <w:color w:val="002F5E"/>
          <w:spacing w:val="0"/>
          <w:sz w:val="24"/>
          <w:szCs w:val="24"/>
          <w:shd w:val="clear" w:fill="FFFFFF"/>
        </w:rPr>
      </w:pPr>
    </w:p>
    <w:p w14:paraId="34999C09">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港澳台学生在读期间可申请教育部及天津农学院各类奖学金。</w:t>
      </w:r>
    </w:p>
    <w:p w14:paraId="0C4855C8">
      <w:pPr>
        <w:rPr>
          <w:rFonts w:hint="eastAsia" w:ascii="SimSun" w:hAnsi="SimSun" w:eastAsia="SimSun" w:cs="SimSun"/>
          <w:b/>
          <w:bCs/>
          <w:i w:val="0"/>
          <w:iCs w:val="0"/>
          <w:caps w:val="0"/>
          <w:color w:val="002F5E"/>
          <w:spacing w:val="0"/>
          <w:sz w:val="24"/>
          <w:szCs w:val="24"/>
          <w:shd w:val="clear" w:fill="FFFFFF"/>
        </w:rPr>
      </w:pPr>
    </w:p>
    <w:p w14:paraId="07181C1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七、身体健康状况检查</w:t>
      </w:r>
    </w:p>
    <w:p w14:paraId="78CADAF2">
      <w:pPr>
        <w:rPr>
          <w:rFonts w:hint="eastAsia" w:ascii="SimSun" w:hAnsi="SimSun" w:eastAsia="SimSun" w:cs="SimSun"/>
          <w:b/>
          <w:bCs/>
          <w:i w:val="0"/>
          <w:iCs w:val="0"/>
          <w:caps w:val="0"/>
          <w:color w:val="002F5E"/>
          <w:spacing w:val="0"/>
          <w:sz w:val="24"/>
          <w:szCs w:val="24"/>
          <w:shd w:val="clear" w:fill="FFFFFF"/>
        </w:rPr>
      </w:pPr>
    </w:p>
    <w:p w14:paraId="078426AB">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14:paraId="66B0405B">
      <w:pPr>
        <w:rPr>
          <w:rFonts w:hint="eastAsia" w:ascii="SimSun" w:hAnsi="SimSun" w:eastAsia="SimSun" w:cs="SimSun"/>
          <w:b/>
          <w:bCs/>
          <w:i w:val="0"/>
          <w:iCs w:val="0"/>
          <w:caps w:val="0"/>
          <w:color w:val="002F5E"/>
          <w:spacing w:val="0"/>
          <w:sz w:val="24"/>
          <w:szCs w:val="24"/>
          <w:shd w:val="clear" w:fill="FFFFFF"/>
        </w:rPr>
      </w:pPr>
    </w:p>
    <w:p w14:paraId="4A9EFB04">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八、学历证书及证书种类</w:t>
      </w:r>
    </w:p>
    <w:p w14:paraId="5F34D140">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本科学习期满，修完规定课程和学分、成绩合格者颁发天津农学院本科毕业证书；达到天津农学院学位授予标准者颁发天津农学院学士学位证书。</w:t>
      </w:r>
    </w:p>
    <w:p w14:paraId="7CE4C988">
      <w:pPr>
        <w:rPr>
          <w:rFonts w:hint="eastAsia" w:ascii="SimSun" w:hAnsi="SimSun" w:eastAsia="SimSun" w:cs="SimSun"/>
          <w:b/>
          <w:bCs/>
          <w:i w:val="0"/>
          <w:iCs w:val="0"/>
          <w:caps w:val="0"/>
          <w:color w:val="002F5E"/>
          <w:spacing w:val="0"/>
          <w:sz w:val="24"/>
          <w:szCs w:val="24"/>
          <w:shd w:val="clear" w:fill="FFFFFF"/>
        </w:rPr>
      </w:pPr>
    </w:p>
    <w:p w14:paraId="24A5415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九、联系方式及其他</w:t>
      </w:r>
    </w:p>
    <w:p w14:paraId="37B45E69">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学校全称：天津农学院</w:t>
      </w:r>
    </w:p>
    <w:p w14:paraId="139BB56C">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学校地址：中国天津市西青区津静路22号（300384）</w:t>
      </w:r>
    </w:p>
    <w:p w14:paraId="3C4A113B">
      <w:pPr>
        <w:rPr>
          <w:rFonts w:hint="eastAsia" w:ascii="SimSun" w:hAnsi="SimSun" w:eastAsia="SimSun" w:cs="SimSun"/>
          <w:b/>
          <w:bCs/>
          <w:i w:val="0"/>
          <w:iCs w:val="0"/>
          <w:caps w:val="0"/>
          <w:color w:val="002F5E"/>
          <w:spacing w:val="0"/>
          <w:sz w:val="24"/>
          <w:szCs w:val="24"/>
          <w:shd w:val="clear" w:fill="FFFFFF"/>
        </w:rPr>
      </w:pPr>
    </w:p>
    <w:p w14:paraId="02BF450E">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 xml:space="preserve">学校网址：http://www.tjau.edu.cn/  </w:t>
      </w:r>
    </w:p>
    <w:p w14:paraId="7C7130E8">
      <w:pPr>
        <w:rPr>
          <w:rFonts w:hint="eastAsia" w:ascii="SimSun" w:hAnsi="SimSun" w:eastAsia="SimSun" w:cs="SimSun"/>
          <w:b/>
          <w:bCs/>
          <w:i w:val="0"/>
          <w:iCs w:val="0"/>
          <w:caps w:val="0"/>
          <w:color w:val="002F5E"/>
          <w:spacing w:val="0"/>
          <w:sz w:val="24"/>
          <w:szCs w:val="24"/>
          <w:shd w:val="clear" w:fill="FFFFFF"/>
        </w:rPr>
      </w:pPr>
    </w:p>
    <w:p w14:paraId="44132E85">
      <w:pPr>
        <w:rPr>
          <w:rFonts w:hint="eastAsia" w:ascii="SimSun" w:hAnsi="SimSun" w:eastAsia="SimSun" w:cs="SimSun"/>
          <w:b/>
          <w:bCs/>
          <w:i w:val="0"/>
          <w:iCs w:val="0"/>
          <w:caps w:val="0"/>
          <w:color w:val="002F5E"/>
          <w:spacing w:val="0"/>
          <w:sz w:val="24"/>
          <w:szCs w:val="24"/>
          <w:shd w:val="clear" w:fill="FFFFFF"/>
        </w:rPr>
      </w:pPr>
    </w:p>
    <w:p w14:paraId="18EF8822">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电子信箱：intloffice@tjau.edu.cn</w:t>
      </w:r>
    </w:p>
    <w:p w14:paraId="50D4E6D1">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电话：+86-22-23783711</w:t>
      </w:r>
    </w:p>
    <w:p w14:paraId="6C997831">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传真：+86-22-23783711</w:t>
      </w:r>
    </w:p>
    <w:p w14:paraId="23F54462">
      <w:pPr>
        <w:rPr>
          <w:rFonts w:hint="eastAsia" w:ascii="SimSun" w:hAnsi="SimSun" w:eastAsia="SimSun" w:cs="SimSun"/>
          <w:b/>
          <w:bCs/>
          <w:i w:val="0"/>
          <w:iCs w:val="0"/>
          <w:caps w:val="0"/>
          <w:color w:val="002F5E"/>
          <w:spacing w:val="0"/>
          <w:sz w:val="24"/>
          <w:szCs w:val="24"/>
          <w:shd w:val="clear" w:fill="FFFFFF"/>
        </w:rPr>
      </w:pPr>
    </w:p>
    <w:p w14:paraId="2EF7785F">
      <w:pPr>
        <w:rPr>
          <w:rFonts w:hint="eastAsia" w:ascii="SimSun" w:hAnsi="SimSun" w:eastAsia="SimSun" w:cs="SimSun"/>
          <w:b/>
          <w:bCs/>
          <w:i w:val="0"/>
          <w:iCs w:val="0"/>
          <w:caps w:val="0"/>
          <w:color w:val="002F5E"/>
          <w:spacing w:val="0"/>
          <w:sz w:val="24"/>
          <w:szCs w:val="24"/>
          <w:shd w:val="clear" w:fill="FFFFFF"/>
        </w:rPr>
      </w:pPr>
      <w:r>
        <w:rPr>
          <w:rFonts w:hint="eastAsia" w:ascii="SimSun" w:hAnsi="SimSun" w:eastAsia="SimSun" w:cs="SimSun"/>
          <w:b/>
          <w:bCs/>
          <w:i w:val="0"/>
          <w:iCs w:val="0"/>
          <w:caps w:val="0"/>
          <w:color w:val="002F5E"/>
          <w:spacing w:val="0"/>
          <w:sz w:val="24"/>
          <w:szCs w:val="24"/>
          <w:shd w:val="clear" w:fill="FFFFFF"/>
        </w:rPr>
        <w:t>本简章内容如与上级教育主管部门招生规定不一致时，以上级教育主管部门规定为准。</w:t>
      </w:r>
      <w:r>
        <w:rPr>
          <w:rFonts w:hint="eastAsia" w:ascii="SimSun" w:hAnsi="SimSun" w:eastAsia="SimSun" w:cs="SimSun"/>
          <w:b/>
          <w:bCs/>
          <w:i w:val="0"/>
          <w:iCs w:val="0"/>
          <w:caps w:val="0"/>
          <w:color w:val="002F5E"/>
          <w:spacing w:val="0"/>
          <w:sz w:val="24"/>
          <w:szCs w:val="24"/>
          <w:shd w:val="clear" w:fill="FFFFFF"/>
        </w:rPr>
        <w:br w:type="textWrapping"/>
      </w:r>
    </w:p>
    <w:p w14:paraId="794A2D4E">
      <w:r>
        <w:drawing>
          <wp:inline distT="0" distB="0" distL="114300" distR="114300">
            <wp:extent cx="5114925" cy="60293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14925" cy="6029325"/>
                    </a:xfrm>
                    <a:prstGeom prst="rect">
                      <a:avLst/>
                    </a:prstGeom>
                    <a:noFill/>
                    <a:ln>
                      <a:noFill/>
                    </a:ln>
                  </pic:spPr>
                </pic:pic>
              </a:graphicData>
            </a:graphic>
          </wp:inline>
        </w:drawing>
      </w:r>
    </w:p>
    <w:p w14:paraId="4A625474"/>
    <w:p w14:paraId="6CCC05C0">
      <w:pPr>
        <w:rPr>
          <w:rFonts w:hint="eastAsia" w:eastAsiaTheme="minorEastAsia"/>
          <w:lang w:val="en-US" w:eastAsia="zh-CN"/>
        </w:rPr>
      </w:pPr>
      <w:r>
        <w:rPr>
          <w:rFonts w:hint="eastAsia"/>
          <w:lang w:val="en-US" w:eastAsia="zh-CN"/>
        </w:rPr>
        <w:t>網址：https://gjjl.tjau.edu.cn/info/1110/2613.htm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482BE6"/>
    <w:rsid w:val="3C482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2024-12-25T07:03:00Z</dcterms:created>
  <dc:creator>Coco*☆사랑해요</dc:creator>
  <cp:lastModifiedBy>Coco*☆사랑해요</cp:lastModifiedBy>
  <dcterms:modified xsi:type="dcterms:W3CDTF">2024-12-25T07:10:26Z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8B0EA692817D400581CA13037D1BCD35_11</vt:lpwstr>
  </property>
</Properties>
</file>