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0"/>
        <w:jc w:val="center"/>
        <w:rPr>
          <w:rFonts w:ascii="Microsoft YaHei" w:hAnsi="Microsoft YaHei" w:eastAsia="Microsoft YaHei" w:cs="Microsoft YaHei"/>
          <w:b/>
          <w:bCs/>
          <w:i w:val="0"/>
          <w:iCs w:val="0"/>
          <w:caps w:val="0"/>
          <w:color w:val="961E20"/>
          <w:spacing w:val="0"/>
          <w:sz w:val="16"/>
          <w:szCs w:val="16"/>
        </w:rPr>
      </w:pPr>
      <w:r>
        <w:rPr>
          <w:rFonts w:hint="eastAsia" w:ascii="Microsoft YaHei" w:hAnsi="Microsoft YaHei" w:eastAsia="Microsoft YaHei" w:cs="Microsoft YaHei"/>
          <w:b/>
          <w:bCs/>
          <w:i w:val="0"/>
          <w:iCs w:val="0"/>
          <w:caps w:val="0"/>
          <w:color w:val="961E20"/>
          <w:spacing w:val="0"/>
          <w:sz w:val="16"/>
          <w:szCs w:val="16"/>
          <w:bdr w:val="none" w:color="auto" w:sz="0" w:space="0"/>
          <w:shd w:val="clear" w:fill="FFFFFF"/>
        </w:rPr>
        <w:t>首都经济贸易大学2025年依据台湾地区大学入学考试学科能力测试成绩招收台湾高中毕业生简章</w:t>
      </w:r>
    </w:p>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ascii="Microsoft YaHei" w:hAnsi="Microsoft YaHei" w:eastAsia="Microsoft YaHei" w:cs="Microsoft YaHei"/>
          <w:b w:val="0"/>
          <w:bCs w:val="0"/>
          <w:i w:val="0"/>
          <w:iCs w:val="0"/>
          <w:sz w:val="14"/>
          <w:szCs w:val="14"/>
        </w:rPr>
      </w:pPr>
      <w:r>
        <w:rPr>
          <w:rStyle w:val="6"/>
          <w:rFonts w:ascii="仿宋_gb2312" w:hAnsi="仿宋_gb2312" w:eastAsia="仿宋_gb2312" w:cs="仿宋_gb2312"/>
          <w:b w:val="0"/>
          <w:bCs w:val="0"/>
          <w:i w:val="0"/>
          <w:iCs w:val="0"/>
          <w:color w:val="262626"/>
          <w:sz w:val="18"/>
          <w:szCs w:val="18"/>
          <w:bdr w:val="none" w:color="auto" w:sz="0" w:space="0"/>
        </w:rPr>
        <w:t>一、申请条件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1.持有《台湾居民居住证》或《台湾居民来往大陆通行证》以及在台湾居住的有效身份证明的2025届台湾高中毕业生（考生所持证件须与考生本人信息一致且在有效期之内）；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2.参加2025年台湾地区学测，</w:t>
      </w:r>
      <w:bookmarkStart w:id="0" w:name="_GoBack"/>
      <w:r>
        <w:rPr>
          <w:rFonts w:hint="default" w:ascii="仿宋_gb2312" w:hAnsi="仿宋_gb2312" w:eastAsia="仿宋_gb2312" w:cs="仿宋_gb2312"/>
          <w:b w:val="0"/>
          <w:bCs w:val="0"/>
          <w:i w:val="0"/>
          <w:iCs w:val="0"/>
          <w:color w:val="262626"/>
          <w:sz w:val="18"/>
          <w:szCs w:val="18"/>
          <w:bdr w:val="none" w:color="auto" w:sz="0" w:space="0"/>
        </w:rPr>
        <w:t>语文、数学、英文三个科目学测成绩均须达到前标级</w:t>
      </w:r>
      <w:bookmarkEnd w:id="0"/>
      <w:r>
        <w:rPr>
          <w:rFonts w:hint="default" w:ascii="仿宋_gb2312" w:hAnsi="仿宋_gb2312" w:eastAsia="仿宋_gb2312" w:cs="仿宋_gb2312"/>
          <w:b w:val="0"/>
          <w:bCs w:val="0"/>
          <w:i w:val="0"/>
          <w:iCs w:val="0"/>
          <w:color w:val="262626"/>
          <w:sz w:val="18"/>
          <w:szCs w:val="18"/>
          <w:bdr w:val="none" w:color="auto" w:sz="0" w:space="0"/>
        </w:rPr>
        <w:t>及以上；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3.品行端正，身体健康，体检标准参见《普通高等学校招生体检工作指导意见》。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color w:val="262626"/>
          <w:sz w:val="18"/>
          <w:szCs w:val="18"/>
          <w:bdr w:val="none" w:color="auto" w:sz="0" w:space="0"/>
        </w:rPr>
        <w:t>二、招生专业及计划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1.招生总计划：5人；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2.申请者可在以下招生专业列表中选择6个专业作为专业志愿，具体招生专业如下：</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30"/>
        <w:gridCol w:w="2500"/>
        <w:gridCol w:w="1520"/>
        <w:gridCol w:w="15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single" w:color="auto" w:sz="4" w:space="0"/>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sz w:val="18"/>
                <w:szCs w:val="18"/>
                <w:bdr w:val="none" w:color="auto" w:sz="0" w:space="0"/>
              </w:rPr>
              <w:t>序号</w:t>
            </w:r>
          </w:p>
        </w:tc>
        <w:tc>
          <w:tcPr>
            <w:tcW w:w="2500" w:type="dxa"/>
            <w:tcBorders>
              <w:top w:val="single" w:color="auto" w:sz="4" w:space="0"/>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sz w:val="18"/>
                <w:szCs w:val="18"/>
                <w:bdr w:val="none" w:color="auto" w:sz="0" w:space="0"/>
              </w:rPr>
              <w:t>招收专业（类）</w:t>
            </w:r>
          </w:p>
        </w:tc>
        <w:tc>
          <w:tcPr>
            <w:tcW w:w="1520" w:type="dxa"/>
            <w:tcBorders>
              <w:top w:val="single" w:color="auto" w:sz="4" w:space="0"/>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sz w:val="18"/>
                <w:szCs w:val="18"/>
                <w:bdr w:val="none" w:color="auto" w:sz="0" w:space="0"/>
              </w:rPr>
              <w:t>所属学院</w:t>
            </w:r>
          </w:p>
        </w:tc>
        <w:tc>
          <w:tcPr>
            <w:tcW w:w="1520" w:type="dxa"/>
            <w:tcBorders>
              <w:top w:val="single" w:color="auto" w:sz="4" w:space="0"/>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sz w:val="18"/>
                <w:szCs w:val="18"/>
                <w:bdr w:val="none" w:color="auto" w:sz="0" w:space="0"/>
              </w:rPr>
              <w:t>专业限制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1</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经济学</w:t>
            </w:r>
          </w:p>
        </w:tc>
        <w:tc>
          <w:tcPr>
            <w:tcW w:w="1520" w:type="dxa"/>
            <w:vMerge w:val="restart"/>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经济学院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2</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国际经济与贸易</w:t>
            </w:r>
          </w:p>
        </w:tc>
        <w:tc>
          <w:tcPr>
            <w:tcW w:w="1520" w:type="dxa"/>
            <w:vMerge w:val="continue"/>
            <w:tcBorders>
              <w:top w:val="nil"/>
              <w:left w:val="single" w:color="auto" w:sz="4" w:space="0"/>
              <w:bottom w:val="single" w:color="auto" w:sz="4" w:space="0"/>
              <w:right w:val="single" w:color="auto" w:sz="4" w:space="0"/>
            </w:tcBorders>
            <w:shd w:val="clear"/>
            <w:tcMar>
              <w:left w:w="70" w:type="dxa"/>
              <w:right w:w="70" w:type="dxa"/>
            </w:tcMar>
            <w:vAlign w:val="center"/>
          </w:tcPr>
          <w:p>
            <w:pPr>
              <w:rPr>
                <w:rFonts w:hint="eastAsia" w:ascii="Microsoft YaHei" w:hAnsi="Microsoft YaHei" w:eastAsia="Microsoft YaHei" w:cs="Microsoft YaHei"/>
                <w:b w:val="0"/>
                <w:bCs w:val="0"/>
                <w:i w:val="0"/>
                <w:iCs w:val="0"/>
                <w:sz w:val="14"/>
                <w:szCs w:val="14"/>
              </w:rPr>
            </w:pP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3</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金融学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（国际金融英文班）</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金融学院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4</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会计学</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会计学院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5</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工商管理</w:t>
            </w:r>
          </w:p>
        </w:tc>
        <w:tc>
          <w:tcPr>
            <w:tcW w:w="1520" w:type="dxa"/>
            <w:vMerge w:val="restart"/>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工商管理学院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6</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供应链管理</w:t>
            </w:r>
          </w:p>
        </w:tc>
        <w:tc>
          <w:tcPr>
            <w:tcW w:w="1520" w:type="dxa"/>
            <w:vMerge w:val="continue"/>
            <w:tcBorders>
              <w:top w:val="nil"/>
              <w:left w:val="single" w:color="auto" w:sz="4" w:space="0"/>
              <w:bottom w:val="single" w:color="auto" w:sz="4" w:space="0"/>
              <w:right w:val="single" w:color="auto" w:sz="4" w:space="0"/>
            </w:tcBorders>
            <w:shd w:val="clear"/>
            <w:tcMar>
              <w:left w:w="70" w:type="dxa"/>
              <w:right w:w="70" w:type="dxa"/>
            </w:tcMar>
            <w:vAlign w:val="center"/>
          </w:tcPr>
          <w:p>
            <w:pPr>
              <w:rPr>
                <w:rFonts w:hint="eastAsia" w:ascii="Microsoft YaHei" w:hAnsi="Microsoft YaHei" w:eastAsia="Microsoft YaHei" w:cs="Microsoft YaHei"/>
                <w:b w:val="0"/>
                <w:bCs w:val="0"/>
                <w:i w:val="0"/>
                <w:iCs w:val="0"/>
                <w:sz w:val="14"/>
                <w:szCs w:val="14"/>
              </w:rPr>
            </w:pP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7</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劳动经济学</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劳动经济学院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8</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财政学（实验班）</w:t>
            </w:r>
          </w:p>
        </w:tc>
        <w:tc>
          <w:tcPr>
            <w:tcW w:w="1520" w:type="dxa"/>
            <w:vMerge w:val="restart"/>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财政税务学院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9</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税收学（税务师）</w:t>
            </w:r>
          </w:p>
        </w:tc>
        <w:tc>
          <w:tcPr>
            <w:tcW w:w="1520" w:type="dxa"/>
            <w:vMerge w:val="continue"/>
            <w:tcBorders>
              <w:top w:val="nil"/>
              <w:left w:val="single" w:color="auto" w:sz="4" w:space="0"/>
              <w:bottom w:val="single" w:color="auto" w:sz="4" w:space="0"/>
              <w:right w:val="single" w:color="auto" w:sz="4" w:space="0"/>
            </w:tcBorders>
            <w:shd w:val="clear"/>
            <w:tcMar>
              <w:left w:w="70" w:type="dxa"/>
              <w:right w:w="70" w:type="dxa"/>
            </w:tcMar>
            <w:vAlign w:val="center"/>
          </w:tcPr>
          <w:p>
            <w:pPr>
              <w:rPr>
                <w:rFonts w:hint="eastAsia" w:ascii="Microsoft YaHei" w:hAnsi="Microsoft YaHei" w:eastAsia="Microsoft YaHei" w:cs="Microsoft YaHei"/>
                <w:b w:val="0"/>
                <w:bCs w:val="0"/>
                <w:i w:val="0"/>
                <w:iCs w:val="0"/>
                <w:sz w:val="14"/>
                <w:szCs w:val="14"/>
              </w:rPr>
            </w:pP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10</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资产评估（评估师）</w:t>
            </w:r>
          </w:p>
        </w:tc>
        <w:tc>
          <w:tcPr>
            <w:tcW w:w="1520" w:type="dxa"/>
            <w:vMerge w:val="continue"/>
            <w:tcBorders>
              <w:top w:val="nil"/>
              <w:left w:val="single" w:color="auto" w:sz="4" w:space="0"/>
              <w:bottom w:val="single" w:color="auto" w:sz="4" w:space="0"/>
              <w:right w:val="single" w:color="auto" w:sz="4" w:space="0"/>
            </w:tcBorders>
            <w:shd w:val="clear"/>
            <w:tcMar>
              <w:left w:w="70" w:type="dxa"/>
              <w:right w:w="70" w:type="dxa"/>
            </w:tcMar>
            <w:vAlign w:val="center"/>
          </w:tcPr>
          <w:p>
            <w:pPr>
              <w:rPr>
                <w:rFonts w:hint="eastAsia" w:ascii="Microsoft YaHei" w:hAnsi="Microsoft YaHei" w:eastAsia="Microsoft YaHei" w:cs="Microsoft YaHei"/>
                <w:b w:val="0"/>
                <w:bCs w:val="0"/>
                <w:i w:val="0"/>
                <w:iCs w:val="0"/>
                <w:sz w:val="14"/>
                <w:szCs w:val="14"/>
              </w:rPr>
            </w:pP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11</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法学</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法学院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12</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新闻传播学类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（含传播学、广告学）</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文化与传播学院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6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13</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工商管理（国际会计）</w:t>
            </w:r>
          </w:p>
        </w:tc>
        <w:tc>
          <w:tcPr>
            <w:tcW w:w="1520" w:type="dxa"/>
            <w:vMerge w:val="restart"/>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华侨学院</w:t>
            </w: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英文授课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rHeight w:val="570" w:hRule="atLeast"/>
        </w:trPr>
        <w:tc>
          <w:tcPr>
            <w:tcW w:w="53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14</w:t>
            </w:r>
          </w:p>
        </w:tc>
        <w:tc>
          <w:tcPr>
            <w:tcW w:w="250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信息管理与信息系统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（金融信息管理）</w:t>
            </w:r>
          </w:p>
        </w:tc>
        <w:tc>
          <w:tcPr>
            <w:tcW w:w="1520" w:type="dxa"/>
            <w:vMerge w:val="continue"/>
            <w:tcBorders>
              <w:top w:val="nil"/>
              <w:left w:val="single" w:color="auto" w:sz="4" w:space="0"/>
              <w:bottom w:val="single" w:color="auto" w:sz="4" w:space="0"/>
              <w:right w:val="single" w:color="auto" w:sz="4" w:space="0"/>
            </w:tcBorders>
            <w:shd w:val="clear"/>
            <w:tcMar>
              <w:left w:w="70" w:type="dxa"/>
              <w:right w:w="70" w:type="dxa"/>
            </w:tcMar>
            <w:vAlign w:val="center"/>
          </w:tcPr>
          <w:p>
            <w:pPr>
              <w:rPr>
                <w:rFonts w:hint="eastAsia" w:ascii="Microsoft YaHei" w:hAnsi="Microsoft YaHei" w:eastAsia="Microsoft YaHei" w:cs="Microsoft YaHei"/>
                <w:b w:val="0"/>
                <w:bCs w:val="0"/>
                <w:i w:val="0"/>
                <w:iCs w:val="0"/>
                <w:sz w:val="14"/>
                <w:szCs w:val="14"/>
              </w:rPr>
            </w:pPr>
          </w:p>
        </w:tc>
        <w:tc>
          <w:tcPr>
            <w:tcW w:w="1520" w:type="dxa"/>
            <w:tcBorders>
              <w:top w:val="nil"/>
              <w:left w:val="single" w:color="auto" w:sz="4" w:space="0"/>
              <w:bottom w:val="single" w:color="auto" w:sz="4" w:space="0"/>
              <w:right w:val="single" w:color="auto" w:sz="4" w:space="0"/>
            </w:tcBorders>
            <w:shd w:val="clear"/>
            <w:tcMar>
              <w:left w:w="70" w:type="dxa"/>
              <w:right w:w="70" w:type="dxa"/>
            </w:tcMar>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文理兼收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90" w:lineRule="atLeast"/>
              <w:ind w:left="0" w:right="0" w:firstLine="0"/>
              <w:jc w:val="center"/>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英文授课</w:t>
            </w:r>
          </w:p>
        </w:tc>
      </w:tr>
    </w:tbl>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37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备注：以上各专业收费标准为5000元/学年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color w:val="262626"/>
          <w:sz w:val="18"/>
          <w:szCs w:val="18"/>
          <w:bdr w:val="none" w:color="auto" w:sz="0" w:space="0"/>
        </w:rPr>
        <w:t>三、报名时间及方式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1.报名时间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2025年3月1日至31日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2.报名方式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报名方式：考生登录祖国大陆普通高校依据台湾地区学测成绩招收台湾高中毕业生系统（网址：</w:t>
      </w:r>
      <w:r>
        <w:rPr>
          <w:rFonts w:hint="default" w:ascii="Times New Roman" w:hAnsi="Times New Roman" w:eastAsia="仿宋_gb2312" w:cs="Times New Roman"/>
          <w:b w:val="0"/>
          <w:bCs w:val="0"/>
          <w:i w:val="0"/>
          <w:iCs w:val="0"/>
          <w:sz w:val="18"/>
          <w:szCs w:val="18"/>
          <w:bdr w:val="none" w:color="auto" w:sz="0" w:space="0"/>
        </w:rPr>
        <w:t>https://www.gatzs.com.cn/z/tw/</w:t>
      </w:r>
      <w:r>
        <w:rPr>
          <w:rFonts w:hint="default" w:ascii="仿宋_gb2312" w:hAnsi="仿宋_gb2312" w:eastAsia="仿宋_gb2312" w:cs="仿宋_gb2312"/>
          <w:b w:val="0"/>
          <w:bCs w:val="0"/>
          <w:i w:val="0"/>
          <w:iCs w:val="0"/>
          <w:sz w:val="18"/>
          <w:szCs w:val="18"/>
          <w:bdr w:val="none" w:color="auto" w:sz="0" w:space="0"/>
        </w:rPr>
        <w:t>）进行报名。考生须按照要求输入个人信息，上传个人证件、电子照片、学测成绩、考生诚信承诺书及成绩查验授权书。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sz w:val="18"/>
          <w:szCs w:val="18"/>
          <w:bdr w:val="none" w:color="auto" w:sz="0" w:space="0"/>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color w:val="262626"/>
          <w:sz w:val="18"/>
          <w:szCs w:val="18"/>
          <w:bdr w:val="none" w:color="auto" w:sz="0" w:space="0"/>
        </w:rPr>
        <w:t>四、选拔办法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1.初审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我校将根据申请人的申请材料进行初审，审核结果将于2025年4月下旬通过报名系统公布，考生可以登录系统查看审核结果，初审合格的考生将采用面试形式进行选拔。</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2.面试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面试时间暂定2025年5月上旬，方式为线上远程面试。具体日期将在我校本科招生网另行通知。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3.录取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DFDFD"/>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shd w:val="clear" w:fill="FDFDFD"/>
        </w:rPr>
        <w:t>我校将根据考生的学测成绩和面试成绩择优确定拟录取名单。拟录取名单除在我校本科招生网公示外，还将于2025年5月15日通过报名系统公布，考生须于5月15日至19日登陆系统查询本人录取情况并进行录取确认。逾期未确认的考生视为放弃录取资格，且不得参加征集志愿报名。考生录取确认后，我校将于2025年7月下旬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DFDFD"/>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shd w:val="clear" w:fill="FDFDFD"/>
        </w:rPr>
        <w:t>若出现未完成招生计划的情况，我校将根据教育部相关要求开展征集志愿，符合条件的考生可于5月21日至31日进行征集志愿报名。具体安排将根据我校实际录取确认情况以及教育部征集志愿安排另行通知。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70" w:lineRule="atLeast"/>
        <w:ind w:left="0" w:right="0" w:firstLine="430"/>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color w:val="262626"/>
          <w:sz w:val="18"/>
          <w:szCs w:val="18"/>
          <w:bdr w:val="none" w:color="auto" w:sz="0" w:space="0"/>
        </w:rPr>
        <w:t>五、学费及其他费用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台湾地区学生与大陆学生学费标准一致。录取的学生按学校规定缴纳学费和杂费。住宿费将根据实际住宿房间按物价部门批准的收费标准收取。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color w:val="262626"/>
          <w:sz w:val="18"/>
          <w:szCs w:val="18"/>
          <w:bdr w:val="none" w:color="auto" w:sz="0" w:space="0"/>
        </w:rPr>
        <w:t>六、其他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1．学校遵循“公平公正、综合评价、择优录取”的原则开展台湾地区高中毕业生招生工作，主动接受社会各界的监督；</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2．学生在校期间，按教育部及我校有关规定管理；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3．新生入学报到时，校医院对新生进行健康复检，复检不合格的考生，根据实际情况按照《首都经济贸易大学全日制本科生学籍管理规定》办理；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4．学校不收取任何申请费用。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color w:val="262626"/>
          <w:sz w:val="18"/>
          <w:szCs w:val="18"/>
          <w:bdr w:val="none" w:color="auto" w:sz="0" w:space="0"/>
        </w:rPr>
        <w:t>七、联络方式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地址：北京市丰台区张家路口121号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邮政编码：100070</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电子邮件：zs@cueb.edu.cn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电话：+86-10-8395-2090，传真：+86-10-8395-2822</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首都经济贸易大学网站：https://www.cueb.edu.cn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Fonts w:hint="default" w:ascii="仿宋_gb2312" w:hAnsi="仿宋_gb2312" w:eastAsia="仿宋_gb2312" w:cs="仿宋_gb2312"/>
          <w:b w:val="0"/>
          <w:bCs w:val="0"/>
          <w:i w:val="0"/>
          <w:iCs w:val="0"/>
          <w:color w:val="262626"/>
          <w:sz w:val="18"/>
          <w:szCs w:val="18"/>
          <w:bdr w:val="none" w:color="auto" w:sz="0" w:space="0"/>
        </w:rPr>
        <w:t>首都经济贸易大学本科招生网https://zs.cueb.edu.cn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30"/>
        <w:rPr>
          <w:rFonts w:hint="eastAsia" w:ascii="Microsoft YaHei" w:hAnsi="Microsoft YaHei" w:eastAsia="Microsoft YaHei" w:cs="Microsoft YaHei"/>
          <w:b w:val="0"/>
          <w:bCs w:val="0"/>
          <w:i w:val="0"/>
          <w:iCs w:val="0"/>
          <w:sz w:val="14"/>
          <w:szCs w:val="14"/>
        </w:rPr>
      </w:pPr>
      <w:r>
        <w:rPr>
          <w:rStyle w:val="6"/>
          <w:rFonts w:hint="default" w:ascii="仿宋_gb2312" w:hAnsi="仿宋_gb2312" w:eastAsia="仿宋_gb2312" w:cs="仿宋_gb2312"/>
          <w:b w:val="0"/>
          <w:bCs w:val="0"/>
          <w:i w:val="0"/>
          <w:iCs w:val="0"/>
          <w:color w:val="262626"/>
          <w:sz w:val="18"/>
          <w:szCs w:val="18"/>
          <w:bdr w:val="none" w:color="auto" w:sz="0" w:space="0"/>
        </w:rPr>
        <w:t>八、</w:t>
      </w:r>
      <w:r>
        <w:rPr>
          <w:rFonts w:hint="default" w:ascii="仿宋_gb2312" w:hAnsi="仿宋_gb2312" w:eastAsia="仿宋_gb2312" w:cs="仿宋_gb2312"/>
          <w:b w:val="0"/>
          <w:bCs w:val="0"/>
          <w:i w:val="0"/>
          <w:iCs w:val="0"/>
          <w:color w:val="262626"/>
          <w:sz w:val="18"/>
          <w:szCs w:val="18"/>
          <w:bdr w:val="none" w:color="auto" w:sz="0" w:space="0"/>
        </w:rPr>
        <w:t>本简章由首都经济贸易大学招生办公室负责解释。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Microsoft YaHei" w:hAnsi="Microsoft YaHei" w:eastAsia="Microsoft YaHei" w:cs="Microsoft YaHei"/>
          <w:b w:val="0"/>
          <w:bCs w:val="0"/>
          <w:i w:val="0"/>
          <w:iCs w:val="0"/>
          <w:sz w:val="14"/>
          <w:szCs w:val="14"/>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65700D4"/>
    <w:rsid w:val="065700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2024-12-11T11:46:00Z</dcterms:created>
  <dc:creator>Coco*☆사랑해요</dc:creator>
  <cp:lastModifiedBy>Coco*☆사랑해요</cp:lastModifiedBy>
  <dcterms:modified xsi:type="dcterms:W3CDTF">2024-12-11T11:48:47Z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4CF5073DA82C430CA850276C0BA893CF_11</vt:lpwstr>
  </property>
</Properties>
</file>