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center"/>
        <w:rPr>
          <w:rFonts w:ascii="Microsoft YaHei" w:hAnsi="Microsoft YaHei" w:eastAsia="Microsoft YaHei" w:cs="Microsoft YaHei"/>
          <w:b/>
          <w:bCs/>
          <w:i w:val="0"/>
          <w:iCs w:val="0"/>
          <w:caps w:val="0"/>
          <w:color w:val="2679CC"/>
          <w:spacing w:val="0"/>
          <w:sz w:val="22"/>
          <w:szCs w:val="22"/>
        </w:rPr>
      </w:pPr>
      <w:r>
        <w:rPr>
          <w:rFonts w:hint="eastAsia" w:ascii="Microsoft YaHei" w:hAnsi="Microsoft YaHei" w:eastAsia="Microsoft YaHei" w:cs="Microsoft YaHei"/>
          <w:b/>
          <w:bCs/>
          <w:i w:val="0"/>
          <w:iCs w:val="0"/>
          <w:caps w:val="0"/>
          <w:color w:val="2679CC"/>
          <w:spacing w:val="0"/>
          <w:sz w:val="22"/>
          <w:szCs w:val="22"/>
          <w:bdr w:val="none" w:color="auto" w:sz="0" w:space="0"/>
          <w:shd w:val="clear" w:fill="FFFFFF"/>
        </w:rPr>
        <w:t>上海电机学院2023年依据台湾地区大学入学考试学科能力测试成绩招收台湾高中毕业生招生章程</w:t>
      </w:r>
    </w:p>
    <w:p>
      <w:pPr>
        <w:pStyle w:val="4"/>
        <w:keepNext w:val="0"/>
        <w:keepLines w:val="0"/>
        <w:widowControl/>
        <w:suppressLineNumbers w:val="0"/>
        <w:pBdr>
          <w:top w:val="single" w:color="ECECEC" w:sz="4" w:space="5"/>
          <w:left w:val="none" w:color="auto" w:sz="0" w:space="0"/>
          <w:bottom w:val="none" w:color="auto" w:sz="0" w:space="0"/>
          <w:right w:val="none" w:color="auto" w:sz="0" w:space="0"/>
        </w:pBdr>
        <w:shd w:val="clear" w:fill="FFFFFF"/>
        <w:spacing w:before="0" w:beforeAutospacing="0" w:after="0" w:afterAutospacing="0" w:line="18" w:lineRule="atLeast"/>
        <w:ind w:left="0" w:right="0" w:firstLine="0"/>
        <w:jc w:val="center"/>
        <w:rPr>
          <w:rFonts w:hint="eastAsia" w:ascii="Microsoft YaHei" w:hAnsi="Microsoft YaHei" w:eastAsia="Microsoft YaHei" w:cs="Microsoft YaHei"/>
          <w:i w:val="0"/>
          <w:iCs w:val="0"/>
          <w:caps w:val="0"/>
          <w:color w:val="333333"/>
          <w:spacing w:val="0"/>
          <w:sz w:val="13"/>
          <w:szCs w:val="13"/>
        </w:rPr>
      </w:pPr>
      <w:r>
        <w:rPr>
          <w:rFonts w:hint="eastAsia" w:ascii="Microsoft YaHei" w:hAnsi="Microsoft YaHei" w:eastAsia="Microsoft YaHei" w:cs="Microsoft YaHei"/>
          <w:i w:val="0"/>
          <w:iCs w:val="0"/>
          <w:caps w:val="0"/>
          <w:color w:val="787878"/>
          <w:spacing w:val="0"/>
          <w:sz w:val="12"/>
          <w:szCs w:val="12"/>
          <w:shd w:val="clear" w:fill="FFFFFF"/>
        </w:rPr>
        <w:t>发布者：陈纯发布时间：2023-01-10浏览次数：44</w:t>
      </w:r>
    </w:p>
    <w:tbl>
      <w:tblPr>
        <w:tblW w:w="6930" w:type="dxa"/>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170"/>
        <w:gridCol w:w="130"/>
        <w:gridCol w:w="1130"/>
        <w:gridCol w:w="4500"/>
      </w:tblGrid>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400" w:hRule="atLeast"/>
          <w:jc w:val="center"/>
        </w:trPr>
        <w:tc>
          <w:tcPr>
            <w:tcW w:w="6930" w:type="dxa"/>
            <w:gridSpan w:val="4"/>
            <w:tcBorders>
              <w:top w:val="single" w:color="000000" w:sz="8" w:space="0"/>
              <w:left w:val="single" w:color="000000" w:sz="8" w:space="0"/>
              <w:bottom w:val="single" w:color="000000" w:sz="4" w:space="0"/>
              <w:right w:val="single" w:color="000000" w:sz="8" w:space="0"/>
            </w:tcBorders>
            <w:shd w:val="clear"/>
            <w:tcMar>
              <w:left w:w="70" w:type="dxa"/>
              <w:right w:w="7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250" w:lineRule="atLeast"/>
              <w:ind w:left="0" w:right="0" w:firstLine="370"/>
              <w:jc w:val="center"/>
              <w:rPr>
                <w:color w:val="333333"/>
                <w:sz w:val="14"/>
                <w:szCs w:val="14"/>
              </w:rPr>
            </w:pPr>
            <w:r>
              <w:rPr>
                <w:rFonts w:ascii="楷体_gb2312" w:hAnsi="楷体_gb2312" w:eastAsia="楷体_gb2312" w:cs="楷体_gb2312"/>
                <w:color w:val="333333"/>
                <w:kern w:val="0"/>
                <w:sz w:val="19"/>
                <w:szCs w:val="19"/>
                <w:bdr w:val="none" w:color="auto" w:sz="0" w:space="0"/>
                <w:lang w:val="en-US" w:eastAsia="zh-CN" w:bidi="ar"/>
              </w:rPr>
              <w:t>2023</w:t>
            </w:r>
            <w:r>
              <w:rPr>
                <w:rFonts w:hint="default" w:ascii="楷体_gb2312" w:hAnsi="楷体_gb2312" w:eastAsia="楷体_gb2312" w:cs="楷体_gb2312"/>
                <w:color w:val="333333"/>
                <w:kern w:val="0"/>
                <w:sz w:val="19"/>
                <w:szCs w:val="19"/>
                <w:bdr w:val="none" w:color="auto" w:sz="0" w:space="0"/>
                <w:lang w:val="en-US" w:eastAsia="zh-CN" w:bidi="ar"/>
              </w:rPr>
              <w:t>年依据台湾地区大学入学考试学科能力测试成绩</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250" w:lineRule="atLeast"/>
              <w:ind w:left="0" w:right="0"/>
              <w:jc w:val="center"/>
              <w:rPr>
                <w:color w:val="333333"/>
                <w:sz w:val="14"/>
                <w:szCs w:val="14"/>
              </w:rPr>
            </w:pPr>
            <w:r>
              <w:rPr>
                <w:rFonts w:hint="default" w:ascii="楷体_gb2312" w:hAnsi="楷体_gb2312" w:eastAsia="楷体_gb2312" w:cs="楷体_gb2312"/>
                <w:color w:val="333333"/>
                <w:kern w:val="0"/>
                <w:sz w:val="19"/>
                <w:szCs w:val="19"/>
                <w:bdr w:val="none" w:color="auto" w:sz="0" w:space="0"/>
                <w:lang w:val="en-US" w:eastAsia="zh-CN" w:bidi="ar"/>
              </w:rPr>
              <w:t>招收台湾高中毕业生招生章程</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30" w:hRule="atLeast"/>
          <w:jc w:val="center"/>
        </w:trPr>
        <w:tc>
          <w:tcPr>
            <w:tcW w:w="2430" w:type="dxa"/>
            <w:gridSpan w:val="3"/>
            <w:tcBorders>
              <w:top w:val="nil"/>
              <w:left w:val="single" w:color="000000" w:sz="8" w:space="0"/>
              <w:bottom w:val="single" w:color="000000" w:sz="4" w:space="0"/>
              <w:right w:val="single" w:color="000000" w:sz="4" w:space="0"/>
            </w:tcBorders>
            <w:shd w:val="clear"/>
            <w:tcMar>
              <w:left w:w="70" w:type="dxa"/>
              <w:right w:w="7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280" w:lineRule="atLeast"/>
              <w:ind w:left="0" w:right="0"/>
              <w:jc w:val="left"/>
              <w:rPr>
                <w:color w:val="333333"/>
                <w:sz w:val="14"/>
                <w:szCs w:val="14"/>
              </w:rPr>
            </w:pPr>
            <w:r>
              <w:rPr>
                <w:rStyle w:val="7"/>
                <w:rFonts w:ascii="仿宋_gb2312" w:hAnsi="仿宋_gb2312" w:eastAsia="仿宋_gb2312" w:cs="仿宋_gb2312"/>
                <w:b/>
                <w:bCs/>
                <w:color w:val="333333"/>
                <w:kern w:val="0"/>
                <w:sz w:val="19"/>
                <w:szCs w:val="19"/>
                <w:bdr w:val="none" w:color="auto" w:sz="0" w:space="0"/>
                <w:lang w:val="en-US" w:eastAsia="zh-CN" w:bidi="ar"/>
              </w:rPr>
              <w:t>一、院校全称</w:t>
            </w:r>
          </w:p>
        </w:tc>
        <w:tc>
          <w:tcPr>
            <w:tcW w:w="4500" w:type="dxa"/>
            <w:tcBorders>
              <w:top w:val="nil"/>
              <w:left w:val="nil"/>
              <w:bottom w:val="single" w:color="000000" w:sz="4" w:space="0"/>
              <w:right w:val="single" w:color="000000" w:sz="8" w:space="0"/>
            </w:tcBorders>
            <w:shd w:val="clear"/>
            <w:tcMar>
              <w:left w:w="70" w:type="dxa"/>
              <w:right w:w="70"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280" w:lineRule="atLeast"/>
              <w:ind w:left="0" w:right="0"/>
              <w:jc w:val="center"/>
              <w:rPr>
                <w:color w:val="333333"/>
                <w:sz w:val="14"/>
                <w:szCs w:val="14"/>
              </w:rPr>
            </w:pPr>
            <w:r>
              <w:rPr>
                <w:rFonts w:hint="default" w:ascii="仿宋_gb2312" w:hAnsi="仿宋_gb2312" w:eastAsia="仿宋_gb2312" w:cs="仿宋_gb2312"/>
                <w:color w:val="333333"/>
                <w:kern w:val="0"/>
                <w:sz w:val="19"/>
                <w:szCs w:val="19"/>
                <w:bdr w:val="none" w:color="auto" w:sz="0" w:space="0"/>
                <w:lang w:val="en-US" w:eastAsia="zh-CN" w:bidi="ar"/>
              </w:rPr>
              <w:t>上海电机学院</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211" w:hRule="atLeast"/>
          <w:jc w:val="center"/>
        </w:trPr>
        <w:tc>
          <w:tcPr>
            <w:tcW w:w="2430" w:type="dxa"/>
            <w:gridSpan w:val="3"/>
            <w:tcBorders>
              <w:top w:val="nil"/>
              <w:left w:val="single" w:color="000000" w:sz="8" w:space="0"/>
              <w:bottom w:val="single" w:color="000000" w:sz="4" w:space="0"/>
              <w:right w:val="single" w:color="000000" w:sz="4" w:space="0"/>
            </w:tcBorders>
            <w:shd w:val="clear"/>
            <w:tcMar>
              <w:left w:w="70" w:type="dxa"/>
              <w:right w:w="7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280" w:lineRule="atLeast"/>
              <w:ind w:left="0" w:right="0"/>
              <w:jc w:val="left"/>
              <w:rPr>
                <w:color w:val="333333"/>
                <w:sz w:val="14"/>
                <w:szCs w:val="14"/>
              </w:rPr>
            </w:pPr>
            <w:r>
              <w:rPr>
                <w:rStyle w:val="7"/>
                <w:rFonts w:hint="default" w:ascii="仿宋_gb2312" w:hAnsi="仿宋_gb2312" w:eastAsia="仿宋_gb2312" w:cs="仿宋_gb2312"/>
                <w:b/>
                <w:bCs/>
                <w:color w:val="333333"/>
                <w:kern w:val="0"/>
                <w:sz w:val="19"/>
                <w:szCs w:val="19"/>
                <w:bdr w:val="none" w:color="auto" w:sz="0" w:space="0"/>
                <w:lang w:val="en-US" w:eastAsia="zh-CN" w:bidi="ar"/>
              </w:rPr>
              <w:t>二、就读校址</w:t>
            </w:r>
          </w:p>
        </w:tc>
        <w:tc>
          <w:tcPr>
            <w:tcW w:w="4500" w:type="dxa"/>
            <w:tcBorders>
              <w:top w:val="nil"/>
              <w:left w:val="nil"/>
              <w:bottom w:val="single" w:color="000000" w:sz="4" w:space="0"/>
              <w:right w:val="single" w:color="000000" w:sz="8" w:space="0"/>
            </w:tcBorders>
            <w:shd w:val="clear"/>
            <w:tcMar>
              <w:left w:w="70" w:type="dxa"/>
              <w:right w:w="70"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280" w:lineRule="atLeast"/>
              <w:ind w:left="0" w:right="0"/>
              <w:jc w:val="left"/>
              <w:rPr>
                <w:color w:val="333333"/>
                <w:sz w:val="14"/>
                <w:szCs w:val="14"/>
              </w:rPr>
            </w:pPr>
            <w:r>
              <w:rPr>
                <w:rFonts w:hint="default" w:ascii="楷体_gb2312" w:hAnsi="楷体_gb2312" w:eastAsia="楷体_gb2312" w:cs="楷体_gb2312"/>
                <w:color w:val="333333"/>
                <w:kern w:val="0"/>
                <w:sz w:val="19"/>
                <w:szCs w:val="19"/>
                <w:bdr w:val="none" w:color="auto" w:sz="0" w:space="0"/>
                <w:lang w:val="en-US" w:eastAsia="zh-CN" w:bidi="ar"/>
              </w:rPr>
              <w:t>临港校区（校本部）：上海市浦东新区水华路300号</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280" w:lineRule="atLeast"/>
              <w:ind w:left="0" w:right="0"/>
              <w:jc w:val="left"/>
              <w:rPr>
                <w:color w:val="333333"/>
                <w:sz w:val="14"/>
                <w:szCs w:val="14"/>
              </w:rPr>
            </w:pPr>
            <w:r>
              <w:rPr>
                <w:rFonts w:hint="default" w:ascii="楷体_gb2312" w:hAnsi="楷体_gb2312" w:eastAsia="楷体_gb2312" w:cs="楷体_gb2312"/>
                <w:color w:val="333333"/>
                <w:kern w:val="0"/>
                <w:sz w:val="19"/>
                <w:szCs w:val="19"/>
                <w:bdr w:val="none" w:color="auto" w:sz="0" w:space="0"/>
                <w:lang w:val="en-US" w:eastAsia="zh-CN" w:bidi="ar"/>
              </w:rPr>
              <w:t>闵行校区：上海市闵行区江川路690号</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75" w:lineRule="atLeast"/>
              <w:ind w:left="0" w:right="0"/>
              <w:rPr>
                <w:b/>
                <w:bCs/>
                <w:sz w:val="14"/>
                <w:szCs w:val="14"/>
              </w:rPr>
            </w:pPr>
            <w:r>
              <w:rPr>
                <w:rFonts w:hint="default" w:ascii="楷体_gb2312" w:hAnsi="楷体_gb2312" w:eastAsia="楷体_gb2312" w:cs="楷体_gb2312"/>
                <w:b w:val="0"/>
                <w:bCs w:val="0"/>
                <w:sz w:val="19"/>
                <w:szCs w:val="19"/>
                <w:bdr w:val="none" w:color="auto" w:sz="0" w:space="0"/>
              </w:rPr>
              <w:t>经济学类、工商管理类、工业工程类本科专业学生就读校区为闵行校区。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75" w:lineRule="atLeast"/>
              <w:ind w:left="0" w:right="0"/>
              <w:rPr>
                <w:b/>
                <w:bCs/>
                <w:sz w:val="14"/>
                <w:szCs w:val="14"/>
              </w:rPr>
            </w:pPr>
            <w:r>
              <w:rPr>
                <w:rFonts w:hint="default" w:ascii="楷体_gb2312" w:hAnsi="楷体_gb2312" w:eastAsia="楷体_gb2312" w:cs="楷体_gb2312"/>
                <w:b w:val="0"/>
                <w:bCs w:val="0"/>
                <w:sz w:val="19"/>
                <w:szCs w:val="19"/>
                <w:bdr w:val="none" w:color="auto" w:sz="0" w:space="0"/>
              </w:rPr>
              <w:t>其他本科专业学生就读校区为临港校区。</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jc w:val="center"/>
        </w:trPr>
        <w:tc>
          <w:tcPr>
            <w:tcW w:w="2430" w:type="dxa"/>
            <w:gridSpan w:val="3"/>
            <w:tcBorders>
              <w:top w:val="nil"/>
              <w:left w:val="single" w:color="000000" w:sz="8" w:space="0"/>
              <w:bottom w:val="single" w:color="000000" w:sz="4" w:space="0"/>
              <w:right w:val="single" w:color="000000" w:sz="4" w:space="0"/>
            </w:tcBorders>
            <w:shd w:val="clear"/>
            <w:tcMar>
              <w:left w:w="70" w:type="dxa"/>
              <w:right w:w="7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280" w:lineRule="atLeast"/>
              <w:ind w:left="0" w:right="0"/>
              <w:jc w:val="left"/>
              <w:rPr>
                <w:color w:val="333333"/>
                <w:sz w:val="14"/>
                <w:szCs w:val="14"/>
              </w:rPr>
            </w:pPr>
            <w:r>
              <w:rPr>
                <w:rStyle w:val="7"/>
                <w:rFonts w:hint="default" w:ascii="仿宋_gb2312" w:hAnsi="仿宋_gb2312" w:eastAsia="仿宋_gb2312" w:cs="仿宋_gb2312"/>
                <w:b/>
                <w:bCs/>
                <w:color w:val="333333"/>
                <w:kern w:val="0"/>
                <w:sz w:val="19"/>
                <w:szCs w:val="19"/>
                <w:bdr w:val="none" w:color="auto" w:sz="0" w:space="0"/>
                <w:lang w:val="en-US" w:eastAsia="zh-CN" w:bidi="ar"/>
              </w:rPr>
              <w:t>三、层次</w:t>
            </w:r>
          </w:p>
        </w:tc>
        <w:tc>
          <w:tcPr>
            <w:tcW w:w="4500" w:type="dxa"/>
            <w:tcBorders>
              <w:top w:val="nil"/>
              <w:left w:val="nil"/>
              <w:bottom w:val="single" w:color="000000" w:sz="4" w:space="0"/>
              <w:right w:val="single" w:color="000000" w:sz="8" w:space="0"/>
            </w:tcBorders>
            <w:shd w:val="clear"/>
            <w:tcMar>
              <w:left w:w="70" w:type="dxa"/>
              <w:right w:w="7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280" w:lineRule="atLeast"/>
              <w:ind w:left="0" w:right="0"/>
              <w:jc w:val="left"/>
              <w:rPr>
                <w:color w:val="333333"/>
                <w:sz w:val="14"/>
                <w:szCs w:val="14"/>
              </w:rPr>
            </w:pPr>
            <w:r>
              <w:rPr>
                <w:rFonts w:hint="default" w:ascii="楷体_gb2312" w:hAnsi="楷体_gb2312" w:eastAsia="楷体_gb2312" w:cs="楷体_gb2312"/>
                <w:color w:val="333333"/>
                <w:kern w:val="0"/>
                <w:sz w:val="19"/>
                <w:szCs w:val="19"/>
                <w:bdr w:val="none" w:color="auto" w:sz="0" w:space="0"/>
                <w:lang w:val="en-US" w:eastAsia="zh-CN" w:bidi="ar"/>
              </w:rPr>
              <w:t>本科</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400" w:hRule="atLeast"/>
          <w:jc w:val="center"/>
        </w:trPr>
        <w:tc>
          <w:tcPr>
            <w:tcW w:w="2430" w:type="dxa"/>
            <w:gridSpan w:val="3"/>
            <w:tcBorders>
              <w:top w:val="nil"/>
              <w:left w:val="single" w:color="000000" w:sz="8" w:space="0"/>
              <w:bottom w:val="single" w:color="000000" w:sz="4" w:space="0"/>
              <w:right w:val="single" w:color="000000" w:sz="4" w:space="0"/>
            </w:tcBorders>
            <w:shd w:val="clear"/>
            <w:tcMar>
              <w:left w:w="70" w:type="dxa"/>
              <w:right w:w="7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280" w:lineRule="atLeast"/>
              <w:ind w:left="0" w:right="0"/>
              <w:jc w:val="left"/>
              <w:rPr>
                <w:color w:val="333333"/>
                <w:sz w:val="14"/>
                <w:szCs w:val="14"/>
              </w:rPr>
            </w:pPr>
            <w:r>
              <w:rPr>
                <w:rStyle w:val="7"/>
                <w:rFonts w:hint="default" w:ascii="仿宋_gb2312" w:hAnsi="仿宋_gb2312" w:eastAsia="仿宋_gb2312" w:cs="仿宋_gb2312"/>
                <w:b/>
                <w:bCs/>
                <w:color w:val="333333"/>
                <w:kern w:val="0"/>
                <w:sz w:val="19"/>
                <w:szCs w:val="19"/>
                <w:bdr w:val="none" w:color="auto" w:sz="0" w:space="0"/>
                <w:lang w:val="en-US" w:eastAsia="zh-CN" w:bidi="ar"/>
              </w:rPr>
              <w:t>四、办学类型</w:t>
            </w:r>
          </w:p>
        </w:tc>
        <w:tc>
          <w:tcPr>
            <w:tcW w:w="4500" w:type="dxa"/>
            <w:tcBorders>
              <w:top w:val="nil"/>
              <w:left w:val="nil"/>
              <w:bottom w:val="single" w:color="000000" w:sz="4" w:space="0"/>
              <w:right w:val="single" w:color="000000" w:sz="8" w:space="0"/>
            </w:tcBorders>
            <w:shd w:val="clear"/>
            <w:tcMar>
              <w:left w:w="70" w:type="dxa"/>
              <w:right w:w="7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280" w:lineRule="atLeast"/>
              <w:ind w:left="0" w:right="0"/>
              <w:jc w:val="left"/>
              <w:rPr>
                <w:color w:val="333333"/>
                <w:sz w:val="14"/>
                <w:szCs w:val="14"/>
              </w:rPr>
            </w:pPr>
            <w:r>
              <w:rPr>
                <w:rFonts w:hint="default" w:ascii="楷体_gb2312" w:hAnsi="楷体_gb2312" w:eastAsia="楷体_gb2312" w:cs="楷体_gb2312"/>
                <w:color w:val="333333"/>
                <w:kern w:val="0"/>
                <w:sz w:val="19"/>
                <w:szCs w:val="19"/>
                <w:bdr w:val="none" w:color="auto" w:sz="0" w:space="0"/>
                <w:lang w:val="en-US" w:eastAsia="zh-CN" w:bidi="ar"/>
              </w:rPr>
              <w:t>公办普通高等学校</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211" w:hRule="atLeast"/>
          <w:jc w:val="center"/>
        </w:trPr>
        <w:tc>
          <w:tcPr>
            <w:tcW w:w="1170" w:type="dxa"/>
            <w:vMerge w:val="restart"/>
            <w:tcBorders>
              <w:top w:val="nil"/>
              <w:left w:val="single" w:color="000000" w:sz="8" w:space="0"/>
              <w:bottom w:val="single" w:color="000000" w:sz="4" w:space="0"/>
              <w:right w:val="single" w:color="000000" w:sz="4" w:space="0"/>
            </w:tcBorders>
            <w:shd w:val="clear"/>
            <w:tcMar>
              <w:left w:w="70" w:type="dxa"/>
              <w:right w:w="7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280" w:lineRule="atLeast"/>
              <w:ind w:left="0" w:right="0"/>
              <w:jc w:val="left"/>
              <w:rPr>
                <w:color w:val="333333"/>
                <w:sz w:val="14"/>
                <w:szCs w:val="14"/>
              </w:rPr>
            </w:pPr>
            <w:r>
              <w:rPr>
                <w:rStyle w:val="7"/>
                <w:rFonts w:hint="default" w:ascii="仿宋_gb2312" w:hAnsi="仿宋_gb2312" w:eastAsia="仿宋_gb2312" w:cs="仿宋_gb2312"/>
                <w:b/>
                <w:bCs/>
                <w:color w:val="333333"/>
                <w:kern w:val="0"/>
                <w:sz w:val="19"/>
                <w:szCs w:val="19"/>
                <w:bdr w:val="none" w:color="auto" w:sz="0" w:space="0"/>
                <w:lang w:val="en-US" w:eastAsia="zh-CN" w:bidi="ar"/>
              </w:rPr>
              <w:t>五、颁发学历证书的院校名称及证书种类</w:t>
            </w:r>
          </w:p>
        </w:tc>
        <w:tc>
          <w:tcPr>
            <w:tcW w:w="1260" w:type="dxa"/>
            <w:gridSpan w:val="2"/>
            <w:tcBorders>
              <w:top w:val="nil"/>
              <w:left w:val="nil"/>
              <w:bottom w:val="single" w:color="000000" w:sz="4" w:space="0"/>
              <w:right w:val="single" w:color="000000" w:sz="4" w:space="0"/>
            </w:tcBorders>
            <w:shd w:val="clear"/>
            <w:tcMar>
              <w:left w:w="70" w:type="dxa"/>
              <w:right w:w="7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280" w:lineRule="atLeast"/>
              <w:ind w:left="0" w:right="0"/>
              <w:jc w:val="both"/>
              <w:rPr>
                <w:color w:val="333333"/>
                <w:sz w:val="14"/>
                <w:szCs w:val="14"/>
              </w:rPr>
            </w:pPr>
            <w:r>
              <w:rPr>
                <w:rStyle w:val="7"/>
                <w:rFonts w:hint="default" w:ascii="仿宋_gb2312" w:hAnsi="仿宋_gb2312" w:eastAsia="仿宋_gb2312" w:cs="仿宋_gb2312"/>
                <w:b/>
                <w:bCs/>
                <w:color w:val="333333"/>
                <w:kern w:val="0"/>
                <w:sz w:val="19"/>
                <w:szCs w:val="19"/>
                <w:bdr w:val="none" w:color="auto" w:sz="0" w:space="0"/>
                <w:lang w:val="en-US" w:eastAsia="zh-CN" w:bidi="ar"/>
              </w:rPr>
              <w:t>院校名称</w:t>
            </w:r>
          </w:p>
        </w:tc>
        <w:tc>
          <w:tcPr>
            <w:tcW w:w="4500" w:type="dxa"/>
            <w:tcBorders>
              <w:top w:val="nil"/>
              <w:left w:val="nil"/>
              <w:bottom w:val="single" w:color="000000" w:sz="4" w:space="0"/>
              <w:right w:val="single" w:color="000000" w:sz="8" w:space="0"/>
            </w:tcBorders>
            <w:shd w:val="clear"/>
            <w:tcMar>
              <w:left w:w="70" w:type="dxa"/>
              <w:right w:w="7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280" w:lineRule="atLeast"/>
              <w:ind w:left="0" w:right="0"/>
              <w:jc w:val="left"/>
              <w:rPr>
                <w:color w:val="333333"/>
                <w:sz w:val="14"/>
                <w:szCs w:val="14"/>
              </w:rPr>
            </w:pPr>
            <w:r>
              <w:rPr>
                <w:rFonts w:hint="default" w:ascii="楷体_gb2312" w:hAnsi="楷体_gb2312" w:eastAsia="楷体_gb2312" w:cs="楷体_gb2312"/>
                <w:color w:val="333333"/>
                <w:kern w:val="0"/>
                <w:sz w:val="19"/>
                <w:szCs w:val="19"/>
                <w:bdr w:val="none" w:color="auto" w:sz="0" w:space="0"/>
                <w:lang w:val="en-US" w:eastAsia="zh-CN" w:bidi="ar"/>
              </w:rPr>
              <w:t>上海电机学院</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490" w:hRule="atLeast"/>
          <w:jc w:val="center"/>
        </w:trPr>
        <w:tc>
          <w:tcPr>
            <w:tcW w:w="1170" w:type="dxa"/>
            <w:vMerge w:val="continue"/>
            <w:tcBorders>
              <w:top w:val="nil"/>
              <w:left w:val="single" w:color="000000" w:sz="8" w:space="0"/>
              <w:bottom w:val="single" w:color="000000" w:sz="4" w:space="0"/>
              <w:right w:val="single" w:color="000000" w:sz="4" w:space="0"/>
            </w:tcBorders>
            <w:shd w:val="clear"/>
            <w:tcMar>
              <w:left w:w="70" w:type="dxa"/>
              <w:right w:w="70" w:type="dxa"/>
            </w:tcMar>
            <w:vAlign w:val="center"/>
          </w:tcPr>
          <w:p>
            <w:pPr>
              <w:rPr>
                <w:rFonts w:hint="eastAsia" w:ascii="SimSun"/>
                <w:sz w:val="24"/>
                <w:szCs w:val="24"/>
              </w:rPr>
            </w:pPr>
          </w:p>
        </w:tc>
        <w:tc>
          <w:tcPr>
            <w:tcW w:w="1260" w:type="dxa"/>
            <w:gridSpan w:val="2"/>
            <w:tcBorders>
              <w:top w:val="nil"/>
              <w:left w:val="nil"/>
              <w:bottom w:val="single" w:color="000000" w:sz="4" w:space="0"/>
              <w:right w:val="single" w:color="000000" w:sz="4" w:space="0"/>
            </w:tcBorders>
            <w:shd w:val="clear"/>
            <w:tcMar>
              <w:left w:w="70" w:type="dxa"/>
              <w:right w:w="7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280" w:lineRule="atLeast"/>
              <w:ind w:left="0" w:right="0"/>
              <w:jc w:val="both"/>
              <w:rPr>
                <w:color w:val="333333"/>
                <w:sz w:val="14"/>
                <w:szCs w:val="14"/>
              </w:rPr>
            </w:pPr>
            <w:r>
              <w:rPr>
                <w:rStyle w:val="7"/>
                <w:rFonts w:hint="default" w:ascii="仿宋_gb2312" w:hAnsi="仿宋_gb2312" w:eastAsia="仿宋_gb2312" w:cs="仿宋_gb2312"/>
                <w:b/>
                <w:bCs/>
                <w:color w:val="333333"/>
                <w:kern w:val="0"/>
                <w:sz w:val="19"/>
                <w:szCs w:val="19"/>
                <w:bdr w:val="none" w:color="auto" w:sz="0" w:space="0"/>
                <w:lang w:val="en-US" w:eastAsia="zh-CN" w:bidi="ar"/>
              </w:rPr>
              <w:t>证书种类</w:t>
            </w:r>
          </w:p>
        </w:tc>
        <w:tc>
          <w:tcPr>
            <w:tcW w:w="4500" w:type="dxa"/>
            <w:tcBorders>
              <w:top w:val="nil"/>
              <w:left w:val="nil"/>
              <w:bottom w:val="single" w:color="000000" w:sz="4" w:space="0"/>
              <w:right w:val="single" w:color="000000" w:sz="8" w:space="0"/>
            </w:tcBorders>
            <w:shd w:val="clear"/>
            <w:tcMar>
              <w:left w:w="70" w:type="dxa"/>
              <w:right w:w="7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280" w:lineRule="atLeast"/>
              <w:ind w:left="0" w:right="0"/>
              <w:jc w:val="left"/>
              <w:rPr>
                <w:color w:val="333333"/>
                <w:sz w:val="14"/>
                <w:szCs w:val="14"/>
              </w:rPr>
            </w:pPr>
            <w:r>
              <w:rPr>
                <w:rFonts w:hint="default" w:ascii="楷体_gb2312" w:hAnsi="楷体_gb2312" w:eastAsia="楷体_gb2312" w:cs="楷体_gb2312"/>
                <w:color w:val="333333"/>
                <w:kern w:val="0"/>
                <w:sz w:val="19"/>
                <w:szCs w:val="19"/>
                <w:bdr w:val="none" w:color="auto" w:sz="0" w:space="0"/>
                <w:lang w:val="en-US" w:eastAsia="zh-CN" w:bidi="ar"/>
              </w:rPr>
              <w:t>修学期满，符合毕业要求，颁发上海电机学院的本科毕业证书</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291" w:hRule="atLeast"/>
          <w:jc w:val="center"/>
        </w:trPr>
        <w:tc>
          <w:tcPr>
            <w:tcW w:w="2430" w:type="dxa"/>
            <w:gridSpan w:val="3"/>
            <w:tcBorders>
              <w:top w:val="nil"/>
              <w:left w:val="single" w:color="000000" w:sz="8" w:space="0"/>
              <w:bottom w:val="single" w:color="000000" w:sz="4" w:space="0"/>
              <w:right w:val="single" w:color="000000" w:sz="4" w:space="0"/>
            </w:tcBorders>
            <w:shd w:val="clear"/>
            <w:tcMar>
              <w:left w:w="70" w:type="dxa"/>
              <w:right w:w="7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280" w:lineRule="atLeast"/>
              <w:ind w:left="0" w:right="0"/>
              <w:jc w:val="left"/>
              <w:rPr>
                <w:color w:val="333333"/>
                <w:sz w:val="14"/>
                <w:szCs w:val="14"/>
              </w:rPr>
            </w:pPr>
            <w:r>
              <w:rPr>
                <w:rStyle w:val="7"/>
                <w:rFonts w:hint="default" w:ascii="仿宋_gb2312" w:hAnsi="仿宋_gb2312" w:eastAsia="仿宋_gb2312" w:cs="仿宋_gb2312"/>
                <w:b/>
                <w:bCs/>
                <w:color w:val="333333"/>
                <w:kern w:val="0"/>
                <w:sz w:val="19"/>
                <w:szCs w:val="19"/>
                <w:bdr w:val="none" w:color="auto" w:sz="0" w:space="0"/>
                <w:lang w:val="en-US" w:eastAsia="zh-CN" w:bidi="ar"/>
              </w:rPr>
              <w:t>六、院校招生管理机构</w:t>
            </w:r>
          </w:p>
        </w:tc>
        <w:tc>
          <w:tcPr>
            <w:tcW w:w="4500" w:type="dxa"/>
            <w:tcBorders>
              <w:top w:val="nil"/>
              <w:left w:val="nil"/>
              <w:bottom w:val="single" w:color="000000" w:sz="4" w:space="0"/>
              <w:right w:val="single" w:color="000000" w:sz="8" w:space="0"/>
            </w:tcBorders>
            <w:shd w:val="clear"/>
            <w:tcMar>
              <w:left w:w="70" w:type="dxa"/>
              <w:right w:w="7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280" w:lineRule="atLeast"/>
              <w:ind w:left="0" w:right="0"/>
              <w:jc w:val="left"/>
              <w:rPr>
                <w:color w:val="333333"/>
                <w:sz w:val="14"/>
                <w:szCs w:val="14"/>
              </w:rPr>
            </w:pPr>
            <w:r>
              <w:rPr>
                <w:rFonts w:hint="default" w:ascii="楷体_gb2312" w:hAnsi="楷体_gb2312" w:eastAsia="楷体_gb2312" w:cs="楷体_gb2312"/>
                <w:color w:val="333333"/>
                <w:kern w:val="0"/>
                <w:sz w:val="19"/>
                <w:szCs w:val="19"/>
                <w:bdr w:val="none" w:color="auto" w:sz="0" w:space="0"/>
                <w:lang w:val="en-US" w:eastAsia="zh-CN" w:bidi="ar"/>
              </w:rPr>
              <w:t>上海电机学院招生领导小组是我校招生工作的最高决策机构，统一领导学校本科招生工作；上海电机学院招生办公室是我校组织和实施招生工作的常设机构，负责学校本科招生的日常工作；上海电机学院纪委（监察专员办公室）综合办公室是我校招生工作纪检监察机构。</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570" w:hRule="atLeast"/>
          <w:jc w:val="center"/>
        </w:trPr>
        <w:tc>
          <w:tcPr>
            <w:tcW w:w="2430" w:type="dxa"/>
            <w:gridSpan w:val="3"/>
            <w:tcBorders>
              <w:top w:val="nil"/>
              <w:left w:val="single" w:color="000000" w:sz="8" w:space="0"/>
              <w:bottom w:val="single" w:color="000000" w:sz="4" w:space="0"/>
              <w:right w:val="single" w:color="000000" w:sz="4" w:space="0"/>
            </w:tcBorders>
            <w:shd w:val="clear"/>
            <w:tcMar>
              <w:left w:w="70" w:type="dxa"/>
              <w:right w:w="7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280" w:lineRule="atLeast"/>
              <w:ind w:left="0" w:right="0"/>
              <w:jc w:val="left"/>
              <w:rPr>
                <w:color w:val="333333"/>
                <w:sz w:val="14"/>
                <w:szCs w:val="14"/>
              </w:rPr>
            </w:pPr>
            <w:r>
              <w:rPr>
                <w:rStyle w:val="7"/>
                <w:rFonts w:hint="default" w:ascii="仿宋_gb2312" w:hAnsi="仿宋_gb2312" w:eastAsia="仿宋_gb2312" w:cs="仿宋_gb2312"/>
                <w:b/>
                <w:bCs/>
                <w:color w:val="333333"/>
                <w:kern w:val="0"/>
                <w:sz w:val="19"/>
                <w:szCs w:val="19"/>
                <w:bdr w:val="none" w:color="auto" w:sz="0" w:space="0"/>
                <w:lang w:val="en-US" w:eastAsia="zh-CN" w:bidi="ar"/>
              </w:rPr>
              <w:t>七、招生计划及说明</w:t>
            </w:r>
          </w:p>
        </w:tc>
        <w:tc>
          <w:tcPr>
            <w:tcW w:w="4500" w:type="dxa"/>
            <w:tcBorders>
              <w:top w:val="nil"/>
              <w:left w:val="nil"/>
              <w:bottom w:val="single" w:color="000000" w:sz="4" w:space="0"/>
              <w:right w:val="single" w:color="000000" w:sz="8" w:space="0"/>
            </w:tcBorders>
            <w:shd w:val="clear"/>
            <w:tcMar>
              <w:left w:w="70" w:type="dxa"/>
              <w:right w:w="7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280" w:lineRule="atLeast"/>
              <w:ind w:left="0" w:right="0"/>
              <w:jc w:val="left"/>
              <w:rPr>
                <w:color w:val="333333"/>
                <w:sz w:val="14"/>
                <w:szCs w:val="14"/>
              </w:rPr>
            </w:pPr>
            <w:r>
              <w:rPr>
                <w:rFonts w:hint="default" w:ascii="楷体_gb2312" w:hAnsi="楷体_gb2312" w:eastAsia="楷体_gb2312" w:cs="楷体_gb2312"/>
                <w:color w:val="333333"/>
                <w:kern w:val="0"/>
                <w:sz w:val="19"/>
                <w:szCs w:val="19"/>
                <w:bdr w:val="none" w:color="auto" w:sz="0" w:space="0"/>
                <w:lang w:val="en-US" w:eastAsia="zh-CN" w:bidi="ar"/>
              </w:rPr>
              <w:t>（一）2023年我校招生计划5人，招生专业目录详见附件。</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280" w:lineRule="atLeast"/>
              <w:ind w:left="0" w:right="0"/>
              <w:jc w:val="left"/>
              <w:rPr>
                <w:color w:val="333333"/>
                <w:sz w:val="14"/>
                <w:szCs w:val="14"/>
              </w:rPr>
            </w:pPr>
            <w:r>
              <w:rPr>
                <w:rFonts w:hint="default" w:ascii="楷体_gb2312" w:hAnsi="楷体_gb2312" w:eastAsia="楷体_gb2312" w:cs="楷体_gb2312"/>
                <w:color w:val="333333"/>
                <w:kern w:val="0"/>
                <w:sz w:val="19"/>
                <w:szCs w:val="19"/>
                <w:bdr w:val="none" w:color="auto" w:sz="0" w:space="0"/>
                <w:lang w:val="en-US" w:eastAsia="zh-CN" w:bidi="ar"/>
              </w:rPr>
              <w:t>（二）各招生专业无男女比例限制。</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jc w:val="center"/>
        </w:trPr>
        <w:tc>
          <w:tcPr>
            <w:tcW w:w="2430" w:type="dxa"/>
            <w:gridSpan w:val="3"/>
            <w:tcBorders>
              <w:top w:val="nil"/>
              <w:left w:val="single" w:color="000000" w:sz="8" w:space="0"/>
              <w:bottom w:val="single" w:color="000000" w:sz="4" w:space="0"/>
              <w:right w:val="single" w:color="000000" w:sz="4" w:space="0"/>
            </w:tcBorders>
            <w:shd w:val="clear"/>
            <w:tcMar>
              <w:left w:w="70" w:type="dxa"/>
              <w:right w:w="7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280" w:lineRule="atLeast"/>
              <w:ind w:left="0" w:right="0"/>
              <w:jc w:val="left"/>
              <w:rPr>
                <w:color w:val="333333"/>
                <w:sz w:val="14"/>
                <w:szCs w:val="14"/>
              </w:rPr>
            </w:pPr>
            <w:r>
              <w:rPr>
                <w:rStyle w:val="7"/>
                <w:rFonts w:hint="default" w:ascii="仿宋_gb2312" w:hAnsi="仿宋_gb2312" w:eastAsia="仿宋_gb2312" w:cs="仿宋_gb2312"/>
                <w:b/>
                <w:bCs/>
                <w:color w:val="333333"/>
                <w:kern w:val="0"/>
                <w:sz w:val="19"/>
                <w:szCs w:val="19"/>
                <w:bdr w:val="none" w:color="auto" w:sz="0" w:space="0"/>
                <w:lang w:val="en-US" w:eastAsia="zh-CN" w:bidi="ar"/>
              </w:rPr>
              <w:t>八、专业培养对入学外语考试语种的要求</w:t>
            </w:r>
          </w:p>
        </w:tc>
        <w:tc>
          <w:tcPr>
            <w:tcW w:w="4500" w:type="dxa"/>
            <w:tcBorders>
              <w:top w:val="nil"/>
              <w:left w:val="nil"/>
              <w:bottom w:val="single" w:color="000000" w:sz="4" w:space="0"/>
              <w:right w:val="single" w:color="000000" w:sz="8" w:space="0"/>
            </w:tcBorders>
            <w:shd w:val="clear"/>
            <w:tcMar>
              <w:left w:w="70" w:type="dxa"/>
              <w:right w:w="7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280" w:lineRule="atLeast"/>
              <w:ind w:left="0" w:right="0"/>
              <w:jc w:val="left"/>
              <w:rPr>
                <w:color w:val="333333"/>
                <w:sz w:val="14"/>
                <w:szCs w:val="14"/>
              </w:rPr>
            </w:pPr>
            <w:r>
              <w:rPr>
                <w:rFonts w:hint="default" w:ascii="楷体_gb2312" w:hAnsi="楷体_gb2312" w:eastAsia="楷体_gb2312" w:cs="楷体_gb2312"/>
                <w:color w:val="333333"/>
                <w:kern w:val="0"/>
                <w:sz w:val="19"/>
                <w:szCs w:val="19"/>
                <w:bdr w:val="none" w:color="auto" w:sz="0" w:space="0"/>
                <w:lang w:val="en-US" w:eastAsia="zh-CN" w:bidi="ar"/>
              </w:rPr>
              <w:t>入学外语考试语种不限，专业外语教学语种为英语。</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jc w:val="center"/>
        </w:trPr>
        <w:tc>
          <w:tcPr>
            <w:tcW w:w="2430" w:type="dxa"/>
            <w:gridSpan w:val="3"/>
            <w:tcBorders>
              <w:top w:val="nil"/>
              <w:left w:val="single" w:color="000000" w:sz="8" w:space="0"/>
              <w:bottom w:val="single" w:color="000000" w:sz="4" w:space="0"/>
              <w:right w:val="single" w:color="000000" w:sz="4" w:space="0"/>
            </w:tcBorders>
            <w:shd w:val="clear"/>
            <w:tcMar>
              <w:left w:w="70" w:type="dxa"/>
              <w:right w:w="7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280" w:lineRule="atLeast"/>
              <w:ind w:left="0" w:right="0"/>
              <w:jc w:val="left"/>
              <w:rPr>
                <w:color w:val="333333"/>
                <w:sz w:val="14"/>
                <w:szCs w:val="14"/>
              </w:rPr>
            </w:pPr>
            <w:r>
              <w:rPr>
                <w:rStyle w:val="7"/>
                <w:rFonts w:hint="default" w:ascii="仿宋_gb2312" w:hAnsi="仿宋_gb2312" w:eastAsia="仿宋_gb2312" w:cs="仿宋_gb2312"/>
                <w:b/>
                <w:bCs/>
                <w:color w:val="333333"/>
                <w:kern w:val="0"/>
                <w:sz w:val="19"/>
                <w:szCs w:val="19"/>
                <w:bdr w:val="none" w:color="auto" w:sz="0" w:space="0"/>
                <w:lang w:val="en-US" w:eastAsia="zh-CN" w:bidi="ar"/>
              </w:rPr>
              <w:t>九、身体健康状况要求</w:t>
            </w:r>
          </w:p>
        </w:tc>
        <w:tc>
          <w:tcPr>
            <w:tcW w:w="4500" w:type="dxa"/>
            <w:tcBorders>
              <w:top w:val="nil"/>
              <w:left w:val="nil"/>
              <w:bottom w:val="single" w:color="000000" w:sz="4" w:space="0"/>
              <w:right w:val="single" w:color="000000" w:sz="8" w:space="0"/>
            </w:tcBorders>
            <w:shd w:val="clear"/>
            <w:tcMar>
              <w:left w:w="70" w:type="dxa"/>
              <w:right w:w="7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280" w:lineRule="atLeast"/>
              <w:ind w:left="0" w:right="0"/>
              <w:jc w:val="left"/>
              <w:rPr>
                <w:color w:val="333333"/>
                <w:sz w:val="14"/>
                <w:szCs w:val="14"/>
              </w:rPr>
            </w:pPr>
            <w:r>
              <w:rPr>
                <w:rFonts w:hint="default" w:ascii="楷体_gb2312" w:hAnsi="楷体_gb2312" w:eastAsia="楷体_gb2312" w:cs="楷体_gb2312"/>
                <w:color w:val="333333"/>
                <w:kern w:val="0"/>
                <w:sz w:val="19"/>
                <w:szCs w:val="19"/>
                <w:bdr w:val="none" w:color="auto" w:sz="0" w:space="0"/>
                <w:lang w:val="en-US" w:eastAsia="zh-CN" w:bidi="ar"/>
              </w:rPr>
              <w:t>以教育部、原卫生部和中国残疾人联合会印发的《普通高等学校招生体检工作指导意见》（教学〔2003〕3号）及有关补充规定为依据，考生须据实上报健康状况。经复查，身体健康状况不符合专业学习要求的考生，学校将按照教育部《普通高等学校学生管理规定》和本校学籍管理规定处理。</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jc w:val="center"/>
        </w:trPr>
        <w:tc>
          <w:tcPr>
            <w:tcW w:w="2430" w:type="dxa"/>
            <w:gridSpan w:val="3"/>
            <w:tcBorders>
              <w:top w:val="nil"/>
              <w:left w:val="single" w:color="000000" w:sz="8" w:space="0"/>
              <w:bottom w:val="single" w:color="000000" w:sz="4" w:space="0"/>
              <w:right w:val="single" w:color="000000" w:sz="4" w:space="0"/>
            </w:tcBorders>
            <w:shd w:val="clear"/>
            <w:tcMar>
              <w:left w:w="70" w:type="dxa"/>
              <w:right w:w="7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280" w:lineRule="atLeast"/>
              <w:ind w:left="0" w:right="0"/>
              <w:jc w:val="left"/>
              <w:rPr>
                <w:color w:val="333333"/>
                <w:sz w:val="14"/>
                <w:szCs w:val="14"/>
              </w:rPr>
            </w:pPr>
            <w:r>
              <w:rPr>
                <w:rStyle w:val="7"/>
                <w:rFonts w:hint="default" w:ascii="仿宋_gb2312" w:hAnsi="仿宋_gb2312" w:eastAsia="仿宋_gb2312" w:cs="仿宋_gb2312"/>
                <w:b/>
                <w:bCs/>
                <w:color w:val="333333"/>
                <w:kern w:val="0"/>
                <w:sz w:val="19"/>
                <w:szCs w:val="19"/>
                <w:bdr w:val="none" w:color="auto" w:sz="0" w:space="0"/>
                <w:lang w:val="en-US" w:eastAsia="zh-CN" w:bidi="ar"/>
              </w:rPr>
              <w:t>十、选拔对象</w:t>
            </w:r>
          </w:p>
        </w:tc>
        <w:tc>
          <w:tcPr>
            <w:tcW w:w="4500" w:type="dxa"/>
            <w:tcBorders>
              <w:top w:val="nil"/>
              <w:left w:val="nil"/>
              <w:bottom w:val="single" w:color="000000" w:sz="4" w:space="0"/>
              <w:right w:val="single" w:color="000000" w:sz="8" w:space="0"/>
            </w:tcBorders>
            <w:shd w:val="clear"/>
            <w:tcMar>
              <w:left w:w="70" w:type="dxa"/>
              <w:right w:w="7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280" w:lineRule="atLeast"/>
              <w:ind w:left="0" w:right="0"/>
              <w:jc w:val="left"/>
              <w:rPr>
                <w:color w:val="333333"/>
                <w:sz w:val="14"/>
                <w:szCs w:val="14"/>
              </w:rPr>
            </w:pPr>
            <w:r>
              <w:rPr>
                <w:rFonts w:hint="default" w:ascii="楷体_gb2312" w:hAnsi="楷体_gb2312" w:eastAsia="楷体_gb2312" w:cs="楷体_gb2312"/>
                <w:color w:val="333333"/>
                <w:kern w:val="0"/>
                <w:sz w:val="19"/>
                <w:szCs w:val="19"/>
                <w:bdr w:val="none" w:color="auto" w:sz="0" w:space="0"/>
                <w:lang w:val="en-US" w:eastAsia="zh-CN" w:bidi="ar"/>
              </w:rPr>
              <w:t>台湾高中毕业生报考须符合《教育部办公厅关于2023年普通高等学校依据台湾地区大学入学考试学科能力测试成绩招收台湾高中毕业生的通知》（教港澳台厅函〔2022〕19号）的资格规定，并同时具备以下条件：</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280" w:lineRule="atLeast"/>
              <w:ind w:left="0" w:right="0"/>
              <w:jc w:val="left"/>
              <w:rPr>
                <w:color w:val="333333"/>
                <w:sz w:val="14"/>
                <w:szCs w:val="14"/>
              </w:rPr>
            </w:pPr>
            <w:r>
              <w:rPr>
                <w:rFonts w:hint="default" w:ascii="楷体_gb2312" w:hAnsi="楷体_gb2312" w:eastAsia="楷体_gb2312" w:cs="楷体_gb2312"/>
                <w:color w:val="333333"/>
                <w:kern w:val="0"/>
                <w:sz w:val="19"/>
                <w:szCs w:val="19"/>
                <w:bdr w:val="none" w:color="auto" w:sz="0" w:space="0"/>
                <w:lang w:val="en-US" w:eastAsia="zh-CN" w:bidi="ar"/>
              </w:rPr>
              <w:t>（一）考生须持有《台湾居民居住证》或《台湾居民来往大陆通行证》及在台湾居住的有效身份证明。考生所持证件须与考生本人信息一致，且在有效期之内；</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280" w:lineRule="atLeast"/>
              <w:ind w:left="0" w:right="0"/>
              <w:jc w:val="left"/>
              <w:rPr>
                <w:color w:val="333333"/>
                <w:sz w:val="14"/>
                <w:szCs w:val="14"/>
              </w:rPr>
            </w:pPr>
            <w:r>
              <w:rPr>
                <w:rFonts w:hint="default" w:ascii="楷体_gb2312" w:hAnsi="楷体_gb2312" w:eastAsia="楷体_gb2312" w:cs="楷体_gb2312"/>
                <w:color w:val="333333"/>
                <w:kern w:val="0"/>
                <w:sz w:val="19"/>
                <w:szCs w:val="19"/>
                <w:bdr w:val="none" w:color="auto" w:sz="0" w:space="0"/>
                <w:lang w:val="en-US" w:eastAsia="zh-CN" w:bidi="ar"/>
              </w:rPr>
              <w:t>（二）参加2023年度台湾地区大学入学考试学科能力测试（以下简称“学测”）且当年学测成绩在</w:t>
            </w:r>
            <w:bookmarkStart w:id="0" w:name="_GoBack"/>
            <w:r>
              <w:rPr>
                <w:rFonts w:hint="default" w:ascii="楷体_gb2312" w:hAnsi="楷体_gb2312" w:eastAsia="楷体_gb2312" w:cs="楷体_gb2312"/>
                <w:color w:val="333333"/>
                <w:kern w:val="0"/>
                <w:sz w:val="19"/>
                <w:szCs w:val="19"/>
                <w:bdr w:val="none" w:color="auto" w:sz="0" w:space="0"/>
                <w:lang w:val="en-US" w:eastAsia="zh-CN" w:bidi="ar"/>
              </w:rPr>
              <w:t>语文、数学、英文三门考试科目均达到均标级</w:t>
            </w:r>
            <w:bookmarkEnd w:id="0"/>
            <w:r>
              <w:rPr>
                <w:rFonts w:hint="default" w:ascii="楷体_gb2312" w:hAnsi="楷体_gb2312" w:eastAsia="楷体_gb2312" w:cs="楷体_gb2312"/>
                <w:color w:val="333333"/>
                <w:kern w:val="0"/>
                <w:sz w:val="19"/>
                <w:szCs w:val="19"/>
                <w:bdr w:val="none" w:color="auto" w:sz="0" w:space="0"/>
                <w:lang w:val="en-US" w:eastAsia="zh-CN" w:bidi="ar"/>
              </w:rPr>
              <w:t>（含）以上。</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jc w:val="center"/>
        </w:trPr>
        <w:tc>
          <w:tcPr>
            <w:tcW w:w="2430" w:type="dxa"/>
            <w:gridSpan w:val="3"/>
            <w:tcBorders>
              <w:top w:val="nil"/>
              <w:left w:val="single" w:color="000000" w:sz="8" w:space="0"/>
              <w:bottom w:val="single" w:color="000000" w:sz="4" w:space="0"/>
              <w:right w:val="single" w:color="000000" w:sz="4" w:space="0"/>
            </w:tcBorders>
            <w:shd w:val="clear"/>
            <w:tcMar>
              <w:left w:w="70" w:type="dxa"/>
              <w:right w:w="7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280" w:lineRule="atLeast"/>
              <w:ind w:left="0" w:right="0"/>
              <w:jc w:val="left"/>
              <w:rPr>
                <w:color w:val="333333"/>
                <w:sz w:val="14"/>
                <w:szCs w:val="14"/>
              </w:rPr>
            </w:pPr>
            <w:r>
              <w:rPr>
                <w:rStyle w:val="7"/>
                <w:rFonts w:hint="default" w:ascii="仿宋_gb2312" w:hAnsi="仿宋_gb2312" w:eastAsia="仿宋_gb2312" w:cs="仿宋_gb2312"/>
                <w:b/>
                <w:bCs/>
                <w:color w:val="333333"/>
                <w:kern w:val="0"/>
                <w:sz w:val="19"/>
                <w:szCs w:val="19"/>
                <w:bdr w:val="none" w:color="auto" w:sz="0" w:space="0"/>
                <w:lang w:val="en-US" w:eastAsia="zh-CN" w:bidi="ar"/>
              </w:rPr>
              <w:t>十一、选拔方式</w:t>
            </w:r>
          </w:p>
        </w:tc>
        <w:tc>
          <w:tcPr>
            <w:tcW w:w="4500" w:type="dxa"/>
            <w:tcBorders>
              <w:top w:val="nil"/>
              <w:left w:val="nil"/>
              <w:bottom w:val="single" w:color="000000" w:sz="4" w:space="0"/>
              <w:right w:val="single" w:color="000000" w:sz="8" w:space="0"/>
            </w:tcBorders>
            <w:shd w:val="clear"/>
            <w:tcMar>
              <w:left w:w="70" w:type="dxa"/>
              <w:right w:w="70"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280" w:lineRule="atLeast"/>
              <w:ind w:left="570" w:right="0" w:hanging="570"/>
              <w:rPr>
                <w:color w:val="333333"/>
                <w:sz w:val="14"/>
                <w:szCs w:val="14"/>
              </w:rPr>
            </w:pPr>
            <w:r>
              <w:rPr>
                <w:rFonts w:hint="default" w:ascii="楷体_gb2312" w:hAnsi="楷体_gb2312" w:eastAsia="楷体_gb2312" w:cs="楷体_gb2312"/>
                <w:color w:val="333333"/>
                <w:sz w:val="19"/>
                <w:szCs w:val="19"/>
                <w:bdr w:val="none" w:color="auto" w:sz="0" w:space="0"/>
                <w:lang w:val="en-US"/>
              </w:rPr>
              <w:t>（一）</w:t>
            </w:r>
            <w:r>
              <w:rPr>
                <w:rFonts w:hint="default" w:ascii="楷体_gb2312" w:hAnsi="楷体_gb2312" w:eastAsia="楷体_gb2312" w:cs="楷体_gb2312"/>
                <w:color w:val="333333"/>
                <w:sz w:val="19"/>
                <w:szCs w:val="19"/>
                <w:bdr w:val="none" w:color="auto" w:sz="0" w:space="0"/>
              </w:rPr>
              <w:t>报名时间及方式</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280" w:lineRule="atLeast"/>
              <w:ind w:left="0" w:right="0"/>
              <w:jc w:val="left"/>
              <w:rPr>
                <w:color w:val="333333"/>
                <w:sz w:val="14"/>
                <w:szCs w:val="14"/>
              </w:rPr>
            </w:pPr>
            <w:r>
              <w:rPr>
                <w:rFonts w:hint="default" w:ascii="楷体_gb2312" w:hAnsi="楷体_gb2312" w:eastAsia="楷体_gb2312" w:cs="楷体_gb2312"/>
                <w:color w:val="333333"/>
                <w:kern w:val="0"/>
                <w:sz w:val="19"/>
                <w:szCs w:val="19"/>
                <w:bdr w:val="none" w:color="auto" w:sz="0" w:space="0"/>
                <w:lang w:val="en-US" w:eastAsia="zh-CN" w:bidi="ar"/>
              </w:rPr>
              <w:t>1.报名时间：2023年3月1日至31日。</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280" w:lineRule="atLeast"/>
              <w:ind w:left="0" w:right="0"/>
              <w:jc w:val="left"/>
              <w:rPr>
                <w:color w:val="333333"/>
                <w:sz w:val="14"/>
                <w:szCs w:val="14"/>
              </w:rPr>
            </w:pPr>
            <w:r>
              <w:rPr>
                <w:rFonts w:hint="default" w:ascii="楷体_gb2312" w:hAnsi="楷体_gb2312" w:eastAsia="楷体_gb2312" w:cs="楷体_gb2312"/>
                <w:color w:val="333333"/>
                <w:kern w:val="0"/>
                <w:sz w:val="19"/>
                <w:szCs w:val="19"/>
                <w:bdr w:val="none" w:color="auto" w:sz="0" w:space="0"/>
                <w:lang w:val="en-US" w:eastAsia="zh-CN" w:bidi="ar"/>
              </w:rPr>
              <w:t>2.报名方式：考生登录祖国大陆普通高校依据台湾地区学测成绩招收台湾高中毕业生系统（网址：https://www.gatzs.com.cn/z/tw/）进行报名。考生须按照要求输入个人信息，上传个人证件、电子照片、学测成绩（含报名序号）、考生诚信承诺书（须本人手写签名）等基本材料，及个人成绩查验授权书（须本人手写签名）和体现申请人自身情况的其他材料（仅限高中阶段）。</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280" w:lineRule="atLeast"/>
              <w:ind w:left="0" w:right="0"/>
              <w:jc w:val="left"/>
              <w:rPr>
                <w:color w:val="333333"/>
                <w:sz w:val="14"/>
                <w:szCs w:val="14"/>
              </w:rPr>
            </w:pPr>
            <w:r>
              <w:rPr>
                <w:rFonts w:hint="default" w:ascii="楷体_gb2312" w:hAnsi="楷体_gb2312" w:eastAsia="楷体_gb2312" w:cs="楷体_gb2312"/>
                <w:color w:val="333333"/>
                <w:kern w:val="0"/>
                <w:sz w:val="19"/>
                <w:szCs w:val="19"/>
                <w:bdr w:val="none" w:color="auto" w:sz="0" w:space="0"/>
                <w:lang w:val="en-US" w:eastAsia="zh-CN" w:bidi="ar"/>
              </w:rPr>
              <w:t>报名截止前，考生可修改基本材料和其他材料。考生应准确填写个人网上报名信息并提供真实材料。</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280" w:lineRule="atLeast"/>
              <w:ind w:left="570" w:right="0" w:hanging="570"/>
              <w:rPr>
                <w:color w:val="333333"/>
                <w:sz w:val="14"/>
                <w:szCs w:val="14"/>
              </w:rPr>
            </w:pPr>
            <w:r>
              <w:rPr>
                <w:rFonts w:hint="default" w:ascii="楷体_gb2312" w:hAnsi="楷体_gb2312" w:eastAsia="楷体_gb2312" w:cs="楷体_gb2312"/>
                <w:color w:val="333333"/>
                <w:sz w:val="19"/>
                <w:szCs w:val="19"/>
                <w:bdr w:val="none" w:color="auto" w:sz="0" w:space="0"/>
                <w:lang w:val="en-US"/>
              </w:rPr>
              <w:t>（二）</w:t>
            </w:r>
            <w:r>
              <w:rPr>
                <w:rFonts w:hint="default" w:ascii="楷体_gb2312" w:hAnsi="楷体_gb2312" w:eastAsia="楷体_gb2312" w:cs="楷体_gb2312"/>
                <w:color w:val="333333"/>
                <w:sz w:val="19"/>
                <w:szCs w:val="19"/>
                <w:bdr w:val="none" w:color="auto" w:sz="0" w:space="0"/>
              </w:rPr>
              <w:t>志愿填报</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280" w:lineRule="atLeast"/>
              <w:ind w:left="0" w:right="0"/>
              <w:jc w:val="left"/>
              <w:rPr>
                <w:color w:val="333333"/>
                <w:sz w:val="14"/>
                <w:szCs w:val="14"/>
              </w:rPr>
            </w:pPr>
            <w:r>
              <w:rPr>
                <w:rFonts w:hint="default" w:ascii="楷体_gb2312" w:hAnsi="楷体_gb2312" w:eastAsia="楷体_gb2312" w:cs="楷体_gb2312"/>
                <w:color w:val="333333"/>
                <w:kern w:val="0"/>
                <w:sz w:val="19"/>
                <w:szCs w:val="19"/>
                <w:bdr w:val="none" w:color="auto" w:sz="0" w:space="0"/>
                <w:lang w:val="en-US" w:eastAsia="zh-CN" w:bidi="ar"/>
              </w:rPr>
              <w:t>志愿填报采取平行志愿方式。填报志愿前，考生须认真阅读报名系统操作指南、我校招生章程。考生应按我校报考条件及相关要求填报志愿。</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280" w:lineRule="atLeast"/>
              <w:ind w:left="0" w:right="0"/>
              <w:jc w:val="left"/>
              <w:rPr>
                <w:color w:val="333333"/>
                <w:sz w:val="14"/>
                <w:szCs w:val="14"/>
              </w:rPr>
            </w:pPr>
            <w:r>
              <w:rPr>
                <w:rFonts w:hint="default" w:ascii="楷体_gb2312" w:hAnsi="楷体_gb2312" w:eastAsia="楷体_gb2312" w:cs="楷体_gb2312"/>
                <w:color w:val="333333"/>
                <w:kern w:val="0"/>
                <w:sz w:val="19"/>
                <w:szCs w:val="19"/>
                <w:bdr w:val="none" w:color="auto" w:sz="0" w:space="0"/>
                <w:lang w:val="en-US" w:eastAsia="zh-CN" w:bidi="ar"/>
              </w:rPr>
              <w:t>因不符合报考条件及相关要求、填报信息错误或填报虚假信息造成的一切后果，由考生本人承担。</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280" w:lineRule="atLeast"/>
              <w:ind w:left="570" w:right="0" w:hanging="570"/>
              <w:rPr>
                <w:color w:val="333333"/>
                <w:sz w:val="14"/>
                <w:szCs w:val="14"/>
              </w:rPr>
            </w:pPr>
            <w:r>
              <w:rPr>
                <w:rFonts w:hint="default" w:ascii="楷体_gb2312" w:hAnsi="楷体_gb2312" w:eastAsia="楷体_gb2312" w:cs="楷体_gb2312"/>
                <w:color w:val="333333"/>
                <w:sz w:val="19"/>
                <w:szCs w:val="19"/>
                <w:bdr w:val="none" w:color="auto" w:sz="0" w:space="0"/>
                <w:lang w:val="en-US"/>
              </w:rPr>
              <w:t>（三）</w:t>
            </w:r>
            <w:r>
              <w:rPr>
                <w:rFonts w:hint="default" w:ascii="楷体_gb2312" w:hAnsi="楷体_gb2312" w:eastAsia="楷体_gb2312" w:cs="楷体_gb2312"/>
                <w:color w:val="333333"/>
                <w:sz w:val="19"/>
                <w:szCs w:val="19"/>
                <w:bdr w:val="none" w:color="auto" w:sz="0" w:space="0"/>
              </w:rPr>
              <w:t>资格审核</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280" w:lineRule="atLeast"/>
              <w:ind w:left="0" w:right="0"/>
              <w:jc w:val="left"/>
              <w:rPr>
                <w:color w:val="333333"/>
                <w:sz w:val="14"/>
                <w:szCs w:val="14"/>
              </w:rPr>
            </w:pPr>
            <w:r>
              <w:rPr>
                <w:rFonts w:hint="default" w:ascii="楷体_gb2312" w:hAnsi="楷体_gb2312" w:eastAsia="楷体_gb2312" w:cs="楷体_gb2312"/>
                <w:color w:val="333333"/>
                <w:kern w:val="0"/>
                <w:sz w:val="19"/>
                <w:szCs w:val="19"/>
                <w:bdr w:val="none" w:color="auto" w:sz="0" w:space="0"/>
                <w:lang w:val="en-US" w:eastAsia="zh-CN" w:bidi="ar"/>
              </w:rPr>
              <w:t>学校将对考生申请材料进行审核。考生应及时登录“报名系统”查看审核结果。“报名系统”显示材料审核通过的考生应关注学校面试通知。</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280" w:lineRule="atLeast"/>
              <w:ind w:left="0" w:right="0"/>
              <w:jc w:val="left"/>
              <w:rPr>
                <w:color w:val="333333"/>
                <w:sz w:val="14"/>
                <w:szCs w:val="14"/>
              </w:rPr>
            </w:pPr>
            <w:r>
              <w:rPr>
                <w:rFonts w:hint="default" w:ascii="楷体_gb2312" w:hAnsi="楷体_gb2312" w:eastAsia="楷体_gb2312" w:cs="楷体_gb2312"/>
                <w:color w:val="333333"/>
                <w:kern w:val="0"/>
                <w:sz w:val="19"/>
                <w:szCs w:val="19"/>
                <w:bdr w:val="none" w:color="auto" w:sz="0" w:space="0"/>
                <w:lang w:val="en-US" w:eastAsia="zh-CN" w:bidi="ar"/>
              </w:rPr>
              <w:t>“报名系统”显示需更正或补充材料的，考生应在规定时间内更正或补充有关材料，提交后及时查看审核结果，逾期提交不再受理。</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280" w:lineRule="atLeast"/>
              <w:ind w:left="0" w:right="0"/>
              <w:jc w:val="left"/>
              <w:rPr>
                <w:color w:val="333333"/>
                <w:sz w:val="14"/>
                <w:szCs w:val="14"/>
              </w:rPr>
            </w:pPr>
            <w:r>
              <w:rPr>
                <w:rFonts w:hint="default" w:ascii="楷体_gb2312" w:hAnsi="楷体_gb2312" w:eastAsia="楷体_gb2312" w:cs="楷体_gb2312"/>
                <w:color w:val="333333"/>
                <w:kern w:val="0"/>
                <w:sz w:val="19"/>
                <w:szCs w:val="19"/>
                <w:bdr w:val="none" w:color="auto" w:sz="0" w:space="0"/>
                <w:lang w:val="en-US" w:eastAsia="zh-CN" w:bidi="ar"/>
              </w:rPr>
              <w:t>“报名系统”显示材料审核不通过的考生不得参加考核和录取。</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280" w:lineRule="atLeast"/>
              <w:ind w:left="570" w:right="0" w:hanging="570"/>
              <w:rPr>
                <w:color w:val="333333"/>
                <w:sz w:val="14"/>
                <w:szCs w:val="14"/>
              </w:rPr>
            </w:pPr>
            <w:r>
              <w:rPr>
                <w:rFonts w:hint="default" w:ascii="楷体_gb2312" w:hAnsi="楷体_gb2312" w:eastAsia="楷体_gb2312" w:cs="楷体_gb2312"/>
                <w:color w:val="333333"/>
                <w:sz w:val="19"/>
                <w:szCs w:val="19"/>
                <w:bdr w:val="none" w:color="auto" w:sz="0" w:space="0"/>
                <w:lang w:val="en-US"/>
              </w:rPr>
              <w:t>（四）</w:t>
            </w:r>
            <w:r>
              <w:rPr>
                <w:rFonts w:hint="default" w:ascii="楷体_gb2312" w:hAnsi="楷体_gb2312" w:eastAsia="楷体_gb2312" w:cs="楷体_gb2312"/>
                <w:color w:val="333333"/>
                <w:sz w:val="19"/>
                <w:szCs w:val="19"/>
                <w:bdr w:val="none" w:color="auto" w:sz="0" w:space="0"/>
              </w:rPr>
              <w:t>面试</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280" w:lineRule="atLeast"/>
              <w:ind w:left="0" w:right="0"/>
              <w:jc w:val="left"/>
              <w:rPr>
                <w:color w:val="333333"/>
                <w:sz w:val="14"/>
                <w:szCs w:val="14"/>
              </w:rPr>
            </w:pPr>
            <w:r>
              <w:rPr>
                <w:rFonts w:hint="default" w:ascii="楷体_gb2312" w:hAnsi="楷体_gb2312" w:eastAsia="楷体_gb2312" w:cs="楷体_gb2312"/>
                <w:color w:val="333333"/>
                <w:kern w:val="0"/>
                <w:sz w:val="19"/>
                <w:szCs w:val="19"/>
                <w:bdr w:val="none" w:color="auto" w:sz="0" w:space="0"/>
                <w:lang w:val="en-US" w:eastAsia="zh-CN" w:bidi="ar"/>
              </w:rPr>
              <w:t>对通过资格审核的学生，须参加我校组织的面试考核，具体面试安排详见学校本科招生信息网（网址：zhaosheng.sdju.edu.cn）。</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280" w:lineRule="atLeast"/>
              <w:ind w:left="0" w:right="0"/>
              <w:jc w:val="left"/>
              <w:rPr>
                <w:color w:val="333333"/>
                <w:sz w:val="14"/>
                <w:szCs w:val="14"/>
              </w:rPr>
            </w:pPr>
            <w:r>
              <w:rPr>
                <w:rFonts w:hint="default" w:ascii="楷体_gb2312" w:hAnsi="楷体_gb2312" w:eastAsia="楷体_gb2312" w:cs="楷体_gb2312"/>
                <w:color w:val="333333"/>
                <w:kern w:val="0"/>
                <w:sz w:val="19"/>
                <w:szCs w:val="19"/>
                <w:bdr w:val="none" w:color="auto" w:sz="0" w:space="0"/>
                <w:lang w:val="en-US" w:eastAsia="zh-CN" w:bidi="ar"/>
              </w:rPr>
              <w:t>面试时考生须出示《台湾居民居住证》或《台湾居民来往大陆通行证》原件及在台湾居住的有效身份证明原件。</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280" w:lineRule="atLeast"/>
              <w:ind w:left="0" w:right="0"/>
              <w:jc w:val="left"/>
              <w:rPr>
                <w:color w:val="333333"/>
                <w:sz w:val="14"/>
                <w:szCs w:val="14"/>
              </w:rPr>
            </w:pPr>
            <w:r>
              <w:rPr>
                <w:rFonts w:hint="default" w:ascii="楷体_gb2312" w:hAnsi="楷体_gb2312" w:eastAsia="楷体_gb2312" w:cs="楷体_gb2312"/>
                <w:color w:val="333333"/>
                <w:kern w:val="0"/>
                <w:sz w:val="19"/>
                <w:szCs w:val="19"/>
                <w:bdr w:val="none" w:color="auto" w:sz="0" w:space="0"/>
                <w:lang w:val="en-US" w:eastAsia="zh-CN" w:bidi="ar"/>
              </w:rPr>
              <w:t>我校不收取任何申请、面试费用，考生参加我校面试的交通、食宿等费用自理；</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280" w:lineRule="atLeast"/>
              <w:ind w:left="0" w:right="0"/>
              <w:jc w:val="left"/>
              <w:rPr>
                <w:color w:val="333333"/>
                <w:sz w:val="14"/>
                <w:szCs w:val="14"/>
              </w:rPr>
            </w:pPr>
            <w:r>
              <w:rPr>
                <w:rFonts w:hint="default" w:ascii="楷体_gb2312" w:hAnsi="楷体_gb2312" w:eastAsia="楷体_gb2312" w:cs="楷体_gb2312"/>
                <w:color w:val="333333"/>
                <w:kern w:val="0"/>
                <w:sz w:val="19"/>
                <w:szCs w:val="19"/>
                <w:bdr w:val="none" w:color="auto" w:sz="0" w:space="0"/>
                <w:lang w:val="en-US" w:eastAsia="zh-CN" w:bidi="ar"/>
              </w:rPr>
              <w:t>未按规定参加面试的考生视作放弃报名资格。</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jc w:val="center"/>
        </w:trPr>
        <w:tc>
          <w:tcPr>
            <w:tcW w:w="2430" w:type="dxa"/>
            <w:gridSpan w:val="3"/>
            <w:tcBorders>
              <w:top w:val="nil"/>
              <w:left w:val="single" w:color="000000" w:sz="8" w:space="0"/>
              <w:bottom w:val="single" w:color="000000" w:sz="4" w:space="0"/>
              <w:right w:val="single" w:color="000000" w:sz="4" w:space="0"/>
            </w:tcBorders>
            <w:shd w:val="clear"/>
            <w:tcMar>
              <w:left w:w="70" w:type="dxa"/>
              <w:right w:w="7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280" w:lineRule="atLeast"/>
              <w:ind w:left="0" w:right="0"/>
              <w:jc w:val="left"/>
              <w:rPr>
                <w:color w:val="333333"/>
                <w:sz w:val="14"/>
                <w:szCs w:val="14"/>
              </w:rPr>
            </w:pPr>
            <w:r>
              <w:rPr>
                <w:rStyle w:val="7"/>
                <w:rFonts w:hint="default" w:ascii="仿宋_gb2312" w:hAnsi="仿宋_gb2312" w:eastAsia="仿宋_gb2312" w:cs="仿宋_gb2312"/>
                <w:b/>
                <w:bCs/>
                <w:color w:val="333333"/>
                <w:kern w:val="0"/>
                <w:sz w:val="19"/>
                <w:szCs w:val="19"/>
                <w:bdr w:val="none" w:color="auto" w:sz="0" w:space="0"/>
                <w:lang w:val="en-US" w:eastAsia="zh-CN" w:bidi="ar"/>
              </w:rPr>
              <w:t>十二、录取规则</w:t>
            </w:r>
          </w:p>
        </w:tc>
        <w:tc>
          <w:tcPr>
            <w:tcW w:w="4500" w:type="dxa"/>
            <w:tcBorders>
              <w:top w:val="nil"/>
              <w:left w:val="nil"/>
              <w:bottom w:val="single" w:color="000000" w:sz="4" w:space="0"/>
              <w:right w:val="single" w:color="000000" w:sz="8" w:space="0"/>
            </w:tcBorders>
            <w:shd w:val="clear"/>
            <w:tcMar>
              <w:left w:w="70" w:type="dxa"/>
              <w:right w:w="7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280" w:lineRule="atLeast"/>
              <w:ind w:left="0" w:right="0"/>
              <w:jc w:val="left"/>
              <w:rPr>
                <w:color w:val="333333"/>
                <w:sz w:val="14"/>
                <w:szCs w:val="14"/>
              </w:rPr>
            </w:pPr>
            <w:r>
              <w:rPr>
                <w:rFonts w:hint="default" w:ascii="楷体_gb2312" w:hAnsi="楷体_gb2312" w:eastAsia="楷体_gb2312" w:cs="楷体_gb2312"/>
                <w:color w:val="333333"/>
                <w:kern w:val="0"/>
                <w:sz w:val="19"/>
                <w:szCs w:val="19"/>
                <w:bdr w:val="none" w:color="auto" w:sz="0" w:space="0"/>
                <w:lang w:val="en-US" w:eastAsia="zh-CN" w:bidi="ar"/>
              </w:rPr>
              <w:t>录取依据：作为录取依据的总分（满分60分）=学测（语文、数学、外语各15分，满分45分）+面试（满分15分）。</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280" w:lineRule="atLeast"/>
              <w:ind w:left="0" w:right="0"/>
              <w:jc w:val="left"/>
              <w:rPr>
                <w:color w:val="333333"/>
                <w:sz w:val="14"/>
                <w:szCs w:val="14"/>
              </w:rPr>
            </w:pPr>
            <w:r>
              <w:rPr>
                <w:rFonts w:hint="default" w:ascii="楷体_gb2312" w:hAnsi="楷体_gb2312" w:eastAsia="楷体_gb2312" w:cs="楷体_gb2312"/>
                <w:color w:val="333333"/>
                <w:kern w:val="0"/>
                <w:sz w:val="19"/>
                <w:szCs w:val="19"/>
                <w:bdr w:val="none" w:color="auto" w:sz="0" w:space="0"/>
                <w:lang w:val="en-US" w:eastAsia="zh-CN" w:bidi="ar"/>
              </w:rPr>
              <w:t>末位同分规则：对末位同分的考生，依语文、数学、外语三门总分择优录取；仍同分者依次比较学测的数学、外语、语文成绩，择优录取，仍相同的学生均予录取。</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280" w:lineRule="atLeast"/>
              <w:ind w:left="0" w:right="0"/>
              <w:jc w:val="left"/>
              <w:rPr>
                <w:color w:val="333333"/>
                <w:sz w:val="14"/>
                <w:szCs w:val="14"/>
              </w:rPr>
            </w:pPr>
            <w:r>
              <w:rPr>
                <w:rFonts w:hint="default" w:ascii="楷体_gb2312" w:hAnsi="楷体_gb2312" w:eastAsia="楷体_gb2312" w:cs="楷体_gb2312"/>
                <w:color w:val="333333"/>
                <w:kern w:val="0"/>
                <w:sz w:val="19"/>
                <w:szCs w:val="19"/>
                <w:bdr w:val="none" w:color="auto" w:sz="0" w:space="0"/>
                <w:lang w:val="en-US" w:eastAsia="zh-CN" w:bidi="ar"/>
              </w:rPr>
              <w:t>专业录取规则：学校按照“分数优先、遵循志愿”的原则确定考生录取专业。</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280" w:lineRule="atLeast"/>
              <w:ind w:left="0" w:right="0"/>
              <w:jc w:val="left"/>
              <w:rPr>
                <w:color w:val="333333"/>
                <w:sz w:val="14"/>
                <w:szCs w:val="14"/>
              </w:rPr>
            </w:pPr>
            <w:r>
              <w:rPr>
                <w:rFonts w:hint="default" w:ascii="楷体_gb2312" w:hAnsi="楷体_gb2312" w:eastAsia="楷体_gb2312" w:cs="楷体_gb2312"/>
                <w:color w:val="333333"/>
                <w:kern w:val="0"/>
                <w:sz w:val="19"/>
                <w:szCs w:val="19"/>
                <w:bdr w:val="none" w:color="auto" w:sz="0" w:space="0"/>
                <w:lang w:val="en-US" w:eastAsia="zh-CN" w:bidi="ar"/>
              </w:rPr>
              <w:t>考生须于5月15日至19日期间登录系统查询本人录取情况，进行录取确认。逾期未确认的考生视为放弃录取资格，且不得参加征集志愿报名。预录取考生确认录取后，学校将于2023年7月发出正式录取通知书。</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241" w:hRule="atLeast"/>
          <w:jc w:val="center"/>
        </w:trPr>
        <w:tc>
          <w:tcPr>
            <w:tcW w:w="1300" w:type="dxa"/>
            <w:gridSpan w:val="2"/>
            <w:vMerge w:val="restart"/>
            <w:tcBorders>
              <w:top w:val="nil"/>
              <w:left w:val="single" w:color="000000" w:sz="8" w:space="0"/>
              <w:bottom w:val="single" w:color="000000" w:sz="4" w:space="0"/>
              <w:right w:val="single" w:color="000000" w:sz="4" w:space="0"/>
            </w:tcBorders>
            <w:shd w:val="clear"/>
            <w:tcMar>
              <w:left w:w="70" w:type="dxa"/>
              <w:right w:w="7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280" w:lineRule="atLeast"/>
              <w:ind w:left="0" w:right="0"/>
              <w:jc w:val="left"/>
              <w:rPr>
                <w:color w:val="333333"/>
                <w:sz w:val="14"/>
                <w:szCs w:val="14"/>
              </w:rPr>
            </w:pPr>
            <w:r>
              <w:rPr>
                <w:rStyle w:val="7"/>
                <w:rFonts w:hint="default" w:ascii="仿宋_gb2312" w:hAnsi="仿宋_gb2312" w:eastAsia="仿宋_gb2312" w:cs="仿宋_gb2312"/>
                <w:b/>
                <w:bCs/>
                <w:color w:val="333333"/>
                <w:kern w:val="0"/>
                <w:sz w:val="19"/>
                <w:szCs w:val="19"/>
                <w:bdr w:val="none" w:color="auto" w:sz="0" w:space="0"/>
                <w:lang w:val="en-US" w:eastAsia="zh-CN" w:bidi="ar"/>
              </w:rPr>
              <w:t>十三、收费标准</w:t>
            </w:r>
          </w:p>
        </w:tc>
        <w:tc>
          <w:tcPr>
            <w:tcW w:w="1130" w:type="dxa"/>
            <w:tcBorders>
              <w:top w:val="nil"/>
              <w:left w:val="nil"/>
              <w:bottom w:val="single" w:color="000000" w:sz="4" w:space="0"/>
              <w:right w:val="single" w:color="000000" w:sz="4" w:space="0"/>
            </w:tcBorders>
            <w:shd w:val="clear"/>
            <w:tcMar>
              <w:left w:w="70" w:type="dxa"/>
              <w:right w:w="7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280" w:lineRule="atLeast"/>
              <w:ind w:left="0" w:right="0"/>
              <w:jc w:val="both"/>
              <w:rPr>
                <w:color w:val="333333"/>
                <w:sz w:val="14"/>
                <w:szCs w:val="14"/>
              </w:rPr>
            </w:pPr>
            <w:r>
              <w:rPr>
                <w:rStyle w:val="7"/>
                <w:rFonts w:hint="default" w:ascii="仿宋_gb2312" w:hAnsi="仿宋_gb2312" w:eastAsia="仿宋_gb2312" w:cs="仿宋_gb2312"/>
                <w:b/>
                <w:bCs/>
                <w:color w:val="333333"/>
                <w:kern w:val="0"/>
                <w:sz w:val="19"/>
                <w:szCs w:val="19"/>
                <w:bdr w:val="none" w:color="auto" w:sz="0" w:space="0"/>
                <w:lang w:val="en-US" w:eastAsia="zh-CN" w:bidi="ar"/>
              </w:rPr>
              <w:t>学费标准</w:t>
            </w:r>
          </w:p>
        </w:tc>
        <w:tc>
          <w:tcPr>
            <w:tcW w:w="4500" w:type="dxa"/>
            <w:tcBorders>
              <w:top w:val="nil"/>
              <w:left w:val="nil"/>
              <w:bottom w:val="single" w:color="000000" w:sz="4" w:space="0"/>
              <w:right w:val="single" w:color="000000" w:sz="8" w:space="0"/>
            </w:tcBorders>
            <w:shd w:val="clear"/>
            <w:tcMar>
              <w:left w:w="70" w:type="dxa"/>
              <w:right w:w="7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270" w:lineRule="atLeast"/>
              <w:ind w:left="0" w:right="0"/>
              <w:jc w:val="left"/>
              <w:rPr>
                <w:color w:val="333333"/>
                <w:sz w:val="14"/>
                <w:szCs w:val="14"/>
              </w:rPr>
            </w:pPr>
            <w:r>
              <w:rPr>
                <w:rFonts w:hint="default" w:ascii="楷体_gb2312" w:hAnsi="楷体_gb2312" w:eastAsia="楷体_gb2312" w:cs="楷体_gb2312"/>
                <w:color w:val="333333"/>
                <w:kern w:val="0"/>
                <w:sz w:val="19"/>
                <w:szCs w:val="19"/>
                <w:bdr w:val="none" w:color="auto" w:sz="0" w:space="0"/>
                <w:lang w:val="en-US" w:eastAsia="zh-CN" w:bidi="ar"/>
              </w:rPr>
              <w:t>一般本科专业5000元/年。［沪价行（2000）第120号］</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jc w:val="center"/>
        </w:trPr>
        <w:tc>
          <w:tcPr>
            <w:tcW w:w="1300" w:type="dxa"/>
            <w:gridSpan w:val="2"/>
            <w:vMerge w:val="continue"/>
            <w:tcBorders>
              <w:top w:val="nil"/>
              <w:left w:val="single" w:color="000000" w:sz="8" w:space="0"/>
              <w:bottom w:val="single" w:color="000000" w:sz="4" w:space="0"/>
              <w:right w:val="single" w:color="000000" w:sz="4" w:space="0"/>
            </w:tcBorders>
            <w:shd w:val="clear"/>
            <w:tcMar>
              <w:left w:w="70" w:type="dxa"/>
              <w:right w:w="70" w:type="dxa"/>
            </w:tcMar>
            <w:vAlign w:val="center"/>
          </w:tcPr>
          <w:p>
            <w:pPr>
              <w:rPr>
                <w:rFonts w:hint="eastAsia" w:ascii="SimSun"/>
                <w:sz w:val="24"/>
                <w:szCs w:val="24"/>
              </w:rPr>
            </w:pPr>
          </w:p>
        </w:tc>
        <w:tc>
          <w:tcPr>
            <w:tcW w:w="1130" w:type="dxa"/>
            <w:tcBorders>
              <w:top w:val="nil"/>
              <w:left w:val="nil"/>
              <w:bottom w:val="single" w:color="000000" w:sz="4" w:space="0"/>
              <w:right w:val="single" w:color="000000" w:sz="4" w:space="0"/>
            </w:tcBorders>
            <w:shd w:val="clear"/>
            <w:tcMar>
              <w:left w:w="70" w:type="dxa"/>
              <w:right w:w="7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280" w:lineRule="atLeast"/>
              <w:ind w:left="0" w:right="0"/>
              <w:jc w:val="both"/>
              <w:rPr>
                <w:color w:val="333333"/>
                <w:sz w:val="14"/>
                <w:szCs w:val="14"/>
              </w:rPr>
            </w:pPr>
            <w:r>
              <w:rPr>
                <w:rStyle w:val="7"/>
                <w:rFonts w:hint="default" w:ascii="仿宋_gb2312" w:hAnsi="仿宋_gb2312" w:eastAsia="仿宋_gb2312" w:cs="仿宋_gb2312"/>
                <w:b/>
                <w:bCs/>
                <w:color w:val="333333"/>
                <w:kern w:val="0"/>
                <w:sz w:val="19"/>
                <w:szCs w:val="19"/>
                <w:bdr w:val="none" w:color="auto" w:sz="0" w:space="0"/>
                <w:lang w:val="en-US" w:eastAsia="zh-CN" w:bidi="ar"/>
              </w:rPr>
              <w:t>住宿费标准</w:t>
            </w:r>
          </w:p>
        </w:tc>
        <w:tc>
          <w:tcPr>
            <w:tcW w:w="4500" w:type="dxa"/>
            <w:tcBorders>
              <w:top w:val="nil"/>
              <w:left w:val="nil"/>
              <w:bottom w:val="single" w:color="000000" w:sz="4" w:space="0"/>
              <w:right w:val="single" w:color="000000" w:sz="8" w:space="0"/>
            </w:tcBorders>
            <w:shd w:val="clear"/>
            <w:tcMar>
              <w:left w:w="70" w:type="dxa"/>
              <w:right w:w="7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270" w:lineRule="atLeast"/>
              <w:ind w:left="0" w:right="0"/>
              <w:jc w:val="left"/>
              <w:rPr>
                <w:color w:val="333333"/>
                <w:sz w:val="14"/>
                <w:szCs w:val="14"/>
              </w:rPr>
            </w:pPr>
            <w:r>
              <w:rPr>
                <w:rFonts w:hint="default" w:ascii="楷体_gb2312" w:hAnsi="楷体_gb2312" w:eastAsia="楷体_gb2312" w:cs="楷体_gb2312"/>
                <w:color w:val="333333"/>
                <w:kern w:val="0"/>
                <w:sz w:val="19"/>
                <w:szCs w:val="19"/>
                <w:bdr w:val="none" w:color="auto" w:sz="0" w:space="0"/>
                <w:lang w:val="en-US" w:eastAsia="zh-CN" w:bidi="ar"/>
              </w:rPr>
              <w:t>每生每学年最高不超过1200元。［沪教委财（2012）118号］、［沪财预（2003）93号］、［沪价费（2003）56号］</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jc w:val="center"/>
        </w:trPr>
        <w:tc>
          <w:tcPr>
            <w:tcW w:w="2430" w:type="dxa"/>
            <w:gridSpan w:val="3"/>
            <w:tcBorders>
              <w:top w:val="nil"/>
              <w:left w:val="single" w:color="000000" w:sz="8" w:space="0"/>
              <w:bottom w:val="single" w:color="000000" w:sz="4" w:space="0"/>
              <w:right w:val="single" w:color="000000" w:sz="4" w:space="0"/>
            </w:tcBorders>
            <w:shd w:val="clear"/>
            <w:tcMar>
              <w:left w:w="70" w:type="dxa"/>
              <w:right w:w="7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280" w:lineRule="atLeast"/>
              <w:ind w:left="0" w:right="0"/>
              <w:jc w:val="left"/>
              <w:rPr>
                <w:color w:val="333333"/>
                <w:sz w:val="14"/>
                <w:szCs w:val="14"/>
              </w:rPr>
            </w:pPr>
            <w:r>
              <w:rPr>
                <w:rStyle w:val="7"/>
                <w:rFonts w:hint="default" w:ascii="仿宋_gb2312" w:hAnsi="仿宋_gb2312" w:eastAsia="仿宋_gb2312" w:cs="仿宋_gb2312"/>
                <w:b/>
                <w:bCs/>
                <w:color w:val="333333"/>
                <w:kern w:val="0"/>
                <w:sz w:val="19"/>
                <w:szCs w:val="19"/>
                <w:bdr w:val="none" w:color="auto" w:sz="0" w:space="0"/>
                <w:lang w:val="en-US" w:eastAsia="zh-CN" w:bidi="ar"/>
              </w:rPr>
              <w:t>十四、资助政策</w:t>
            </w:r>
          </w:p>
        </w:tc>
        <w:tc>
          <w:tcPr>
            <w:tcW w:w="4500" w:type="dxa"/>
            <w:tcBorders>
              <w:top w:val="nil"/>
              <w:left w:val="nil"/>
              <w:bottom w:val="single" w:color="000000" w:sz="4" w:space="0"/>
              <w:right w:val="single" w:color="000000" w:sz="8" w:space="0"/>
            </w:tcBorders>
            <w:shd w:val="clear"/>
            <w:tcMar>
              <w:left w:w="70" w:type="dxa"/>
              <w:right w:w="7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280" w:lineRule="atLeast"/>
              <w:ind w:left="0" w:right="0"/>
              <w:jc w:val="left"/>
              <w:rPr>
                <w:color w:val="333333"/>
                <w:sz w:val="14"/>
                <w:szCs w:val="14"/>
              </w:rPr>
            </w:pPr>
            <w:r>
              <w:rPr>
                <w:rFonts w:hint="default" w:ascii="楷体_gb2312" w:hAnsi="楷体_gb2312" w:eastAsia="楷体_gb2312" w:cs="楷体_gb2312"/>
                <w:color w:val="333333"/>
                <w:kern w:val="0"/>
                <w:sz w:val="19"/>
                <w:szCs w:val="19"/>
                <w:bdr w:val="none" w:color="auto" w:sz="0" w:space="0"/>
                <w:lang w:val="en-US" w:eastAsia="zh-CN" w:bidi="ar"/>
              </w:rPr>
              <w:t>我校认真执行国家和上海市相关学生资助规定，被本校录取的家庭经济困难学生可通过“绿色通道”申请入学，入学后可按规定申请国家奖学金、国家励志奖学金、上海市奖学金、国家助学金、国家助学贷款、勤工助学岗位、特殊困难补助和学费减免等。同时，学校还设立优秀学生博学奖学金、卓越奖学金和笃行奖学金，大学生自强之星及相关企业的各级各类奖助学金。我校承诺：确保被本校录取的学生不因家庭经济困难而辍学。</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181" w:hRule="atLeast"/>
          <w:jc w:val="center"/>
        </w:trPr>
        <w:tc>
          <w:tcPr>
            <w:tcW w:w="2430" w:type="dxa"/>
            <w:gridSpan w:val="3"/>
            <w:tcBorders>
              <w:top w:val="nil"/>
              <w:left w:val="single" w:color="000000" w:sz="8" w:space="0"/>
              <w:bottom w:val="single" w:color="000000" w:sz="4" w:space="0"/>
              <w:right w:val="single" w:color="000000" w:sz="4" w:space="0"/>
            </w:tcBorders>
            <w:shd w:val="clear"/>
            <w:tcMar>
              <w:left w:w="70" w:type="dxa"/>
              <w:right w:w="7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280" w:lineRule="atLeast"/>
              <w:ind w:left="0" w:right="0"/>
              <w:jc w:val="left"/>
              <w:rPr>
                <w:color w:val="333333"/>
                <w:sz w:val="14"/>
                <w:szCs w:val="14"/>
              </w:rPr>
            </w:pPr>
            <w:r>
              <w:rPr>
                <w:rStyle w:val="7"/>
                <w:rFonts w:hint="default" w:ascii="仿宋_gb2312" w:hAnsi="仿宋_gb2312" w:eastAsia="仿宋_gb2312" w:cs="仿宋_gb2312"/>
                <w:b/>
                <w:bCs/>
                <w:color w:val="333333"/>
                <w:kern w:val="0"/>
                <w:sz w:val="19"/>
                <w:szCs w:val="19"/>
                <w:bdr w:val="none" w:color="auto" w:sz="0" w:space="0"/>
                <w:lang w:val="en-US" w:eastAsia="zh-CN" w:bidi="ar"/>
              </w:rPr>
              <w:t>十五、监督机制及举报电话</w:t>
            </w:r>
          </w:p>
        </w:tc>
        <w:tc>
          <w:tcPr>
            <w:tcW w:w="4500" w:type="dxa"/>
            <w:tcBorders>
              <w:top w:val="nil"/>
              <w:left w:val="nil"/>
              <w:bottom w:val="single" w:color="000000" w:sz="4" w:space="0"/>
              <w:right w:val="single" w:color="000000" w:sz="8" w:space="0"/>
            </w:tcBorders>
            <w:shd w:val="clear"/>
            <w:tcMar>
              <w:left w:w="70" w:type="dxa"/>
              <w:right w:w="7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270" w:lineRule="atLeast"/>
              <w:ind w:left="0" w:right="0"/>
              <w:jc w:val="left"/>
              <w:rPr>
                <w:color w:val="333333"/>
                <w:sz w:val="14"/>
                <w:szCs w:val="14"/>
              </w:rPr>
            </w:pPr>
            <w:r>
              <w:rPr>
                <w:rFonts w:hint="default" w:ascii="楷体_gb2312" w:hAnsi="楷体_gb2312" w:eastAsia="楷体_gb2312" w:cs="楷体_gb2312"/>
                <w:color w:val="333333"/>
                <w:kern w:val="0"/>
                <w:sz w:val="19"/>
                <w:szCs w:val="19"/>
                <w:bdr w:val="none" w:color="auto" w:sz="0" w:space="0"/>
                <w:lang w:val="en-US" w:eastAsia="zh-CN" w:bidi="ar"/>
              </w:rPr>
              <w:t>我校依据台湾地区大学入学考试学科能力测试成绩招收台湾高中毕业生招生工作全程接受本校纪委（监察专员办公室）综合办公室监督。</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280" w:lineRule="atLeast"/>
              <w:ind w:left="0" w:right="0"/>
              <w:jc w:val="left"/>
              <w:rPr>
                <w:color w:val="333333"/>
                <w:sz w:val="14"/>
                <w:szCs w:val="14"/>
              </w:rPr>
            </w:pPr>
            <w:r>
              <w:rPr>
                <w:rFonts w:hint="default" w:ascii="楷体_gb2312" w:hAnsi="楷体_gb2312" w:eastAsia="楷体_gb2312" w:cs="楷体_gb2312"/>
                <w:color w:val="333333"/>
                <w:kern w:val="0"/>
                <w:sz w:val="19"/>
                <w:szCs w:val="19"/>
                <w:bdr w:val="none" w:color="auto" w:sz="0" w:space="0"/>
                <w:lang w:val="en-US" w:eastAsia="zh-CN" w:bidi="ar"/>
              </w:rPr>
              <w:t>举报电话：021-38223140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jc w:val="center"/>
        </w:trPr>
        <w:tc>
          <w:tcPr>
            <w:tcW w:w="2430" w:type="dxa"/>
            <w:gridSpan w:val="3"/>
            <w:tcBorders>
              <w:top w:val="nil"/>
              <w:left w:val="single" w:color="000000" w:sz="8" w:space="0"/>
              <w:bottom w:val="single" w:color="000000" w:sz="4" w:space="0"/>
              <w:right w:val="single" w:color="000000" w:sz="4" w:space="0"/>
            </w:tcBorders>
            <w:shd w:val="clear"/>
            <w:tcMar>
              <w:left w:w="70" w:type="dxa"/>
              <w:right w:w="7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280" w:lineRule="atLeast"/>
              <w:ind w:left="0" w:right="0"/>
              <w:jc w:val="left"/>
              <w:rPr>
                <w:color w:val="333333"/>
                <w:sz w:val="14"/>
                <w:szCs w:val="14"/>
              </w:rPr>
            </w:pPr>
            <w:r>
              <w:rPr>
                <w:rStyle w:val="7"/>
                <w:rFonts w:hint="default" w:ascii="仿宋_gb2312" w:hAnsi="仿宋_gb2312" w:eastAsia="仿宋_gb2312" w:cs="仿宋_gb2312"/>
                <w:b/>
                <w:bCs/>
                <w:color w:val="333333"/>
                <w:kern w:val="0"/>
                <w:sz w:val="19"/>
                <w:szCs w:val="19"/>
                <w:bdr w:val="none" w:color="auto" w:sz="0" w:space="0"/>
                <w:lang w:val="en-US" w:eastAsia="zh-CN" w:bidi="ar"/>
              </w:rPr>
              <w:t>十六、网址及联系电话</w:t>
            </w:r>
          </w:p>
        </w:tc>
        <w:tc>
          <w:tcPr>
            <w:tcW w:w="4500" w:type="dxa"/>
            <w:tcBorders>
              <w:top w:val="nil"/>
              <w:left w:val="nil"/>
              <w:bottom w:val="single" w:color="000000" w:sz="4" w:space="0"/>
              <w:right w:val="single" w:color="000000" w:sz="8" w:space="0"/>
            </w:tcBorders>
            <w:shd w:val="clear"/>
            <w:tcMar>
              <w:left w:w="70" w:type="dxa"/>
              <w:right w:w="7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270" w:lineRule="atLeast"/>
              <w:ind w:left="0" w:right="0"/>
              <w:jc w:val="left"/>
              <w:rPr>
                <w:color w:val="333333"/>
                <w:sz w:val="14"/>
                <w:szCs w:val="14"/>
              </w:rPr>
            </w:pPr>
            <w:r>
              <w:rPr>
                <w:rFonts w:hint="default" w:ascii="楷体_gb2312" w:hAnsi="楷体_gb2312" w:eastAsia="楷体_gb2312" w:cs="楷体_gb2312"/>
                <w:color w:val="333333"/>
                <w:kern w:val="0"/>
                <w:sz w:val="19"/>
                <w:szCs w:val="19"/>
                <w:bdr w:val="none" w:color="auto" w:sz="0" w:space="0"/>
                <w:lang w:val="en-US" w:eastAsia="zh-CN" w:bidi="ar"/>
              </w:rPr>
              <w:t>学校官网：www.sdju.edu.cn</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270" w:lineRule="atLeast"/>
              <w:ind w:left="0" w:right="0"/>
              <w:jc w:val="left"/>
              <w:rPr>
                <w:color w:val="333333"/>
                <w:sz w:val="14"/>
                <w:szCs w:val="14"/>
              </w:rPr>
            </w:pPr>
            <w:r>
              <w:rPr>
                <w:rFonts w:hint="default" w:ascii="楷体_gb2312" w:hAnsi="楷体_gb2312" w:eastAsia="楷体_gb2312" w:cs="楷体_gb2312"/>
                <w:color w:val="333333"/>
                <w:kern w:val="0"/>
                <w:sz w:val="19"/>
                <w:szCs w:val="19"/>
                <w:bdr w:val="none" w:color="auto" w:sz="0" w:space="0"/>
                <w:lang w:val="en-US" w:eastAsia="zh-CN" w:bidi="ar"/>
              </w:rPr>
              <w:t>招生办官网：zhaosheng.sdju.edu.cn</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280" w:lineRule="atLeast"/>
              <w:ind w:left="0" w:right="0"/>
              <w:jc w:val="left"/>
              <w:rPr>
                <w:color w:val="333333"/>
                <w:sz w:val="14"/>
                <w:szCs w:val="14"/>
              </w:rPr>
            </w:pPr>
            <w:r>
              <w:rPr>
                <w:rFonts w:hint="default" w:ascii="楷体_gb2312" w:hAnsi="楷体_gb2312" w:eastAsia="楷体_gb2312" w:cs="楷体_gb2312"/>
                <w:color w:val="333333"/>
                <w:kern w:val="0"/>
                <w:sz w:val="19"/>
                <w:szCs w:val="19"/>
                <w:bdr w:val="none" w:color="auto" w:sz="0" w:space="0"/>
                <w:lang w:val="en-US" w:eastAsia="zh-CN" w:bidi="ar"/>
              </w:rPr>
              <w:t>咨询电话：021-38223045</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jc w:val="center"/>
        </w:trPr>
        <w:tc>
          <w:tcPr>
            <w:tcW w:w="2430" w:type="dxa"/>
            <w:gridSpan w:val="3"/>
            <w:tcBorders>
              <w:top w:val="nil"/>
              <w:left w:val="single" w:color="000000" w:sz="8" w:space="0"/>
              <w:bottom w:val="single" w:color="000000" w:sz="8" w:space="0"/>
              <w:right w:val="single" w:color="000000" w:sz="4" w:space="0"/>
            </w:tcBorders>
            <w:shd w:val="clear"/>
            <w:tcMar>
              <w:left w:w="70" w:type="dxa"/>
              <w:right w:w="7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280" w:lineRule="atLeast"/>
              <w:ind w:left="0" w:right="0"/>
              <w:jc w:val="left"/>
              <w:rPr>
                <w:color w:val="333333"/>
                <w:sz w:val="14"/>
                <w:szCs w:val="14"/>
              </w:rPr>
            </w:pPr>
            <w:r>
              <w:rPr>
                <w:rStyle w:val="7"/>
                <w:rFonts w:hint="default" w:ascii="仿宋_gb2312" w:hAnsi="仿宋_gb2312" w:eastAsia="仿宋_gb2312" w:cs="仿宋_gb2312"/>
                <w:b/>
                <w:bCs/>
                <w:color w:val="333333"/>
                <w:kern w:val="0"/>
                <w:sz w:val="19"/>
                <w:szCs w:val="19"/>
                <w:bdr w:val="none" w:color="auto" w:sz="0" w:space="0"/>
                <w:lang w:val="en-US" w:eastAsia="zh-CN" w:bidi="ar"/>
              </w:rPr>
              <w:t>十七、其他须知</w:t>
            </w:r>
          </w:p>
        </w:tc>
        <w:tc>
          <w:tcPr>
            <w:tcW w:w="4500" w:type="dxa"/>
            <w:tcBorders>
              <w:top w:val="nil"/>
              <w:left w:val="nil"/>
              <w:bottom w:val="single" w:color="000000" w:sz="8" w:space="0"/>
              <w:right w:val="single" w:color="000000" w:sz="8" w:space="0"/>
            </w:tcBorders>
            <w:shd w:val="clear"/>
            <w:tcMar>
              <w:left w:w="70" w:type="dxa"/>
              <w:right w:w="7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270" w:lineRule="atLeast"/>
              <w:ind w:left="0" w:right="0"/>
              <w:jc w:val="left"/>
              <w:rPr>
                <w:color w:val="333333"/>
                <w:sz w:val="14"/>
                <w:szCs w:val="14"/>
              </w:rPr>
            </w:pPr>
            <w:r>
              <w:rPr>
                <w:rFonts w:hint="default" w:ascii="楷体_gb2312" w:hAnsi="楷体_gb2312" w:eastAsia="楷体_gb2312" w:cs="楷体_gb2312"/>
                <w:color w:val="333333"/>
                <w:kern w:val="0"/>
                <w:sz w:val="19"/>
                <w:szCs w:val="19"/>
                <w:bdr w:val="none" w:color="auto" w:sz="0" w:space="0"/>
                <w:lang w:val="en-US" w:eastAsia="zh-CN" w:bidi="ar"/>
              </w:rPr>
              <w:t>1.大类招生的学生入学后完成专业基础阶段学习，根据所在招生大类专业分流办法实行专业分流。</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270" w:lineRule="atLeast"/>
              <w:ind w:left="0" w:right="0"/>
              <w:jc w:val="left"/>
              <w:rPr>
                <w:color w:val="333333"/>
                <w:sz w:val="14"/>
                <w:szCs w:val="14"/>
              </w:rPr>
            </w:pPr>
            <w:r>
              <w:rPr>
                <w:rFonts w:hint="default" w:ascii="楷体_gb2312" w:hAnsi="楷体_gb2312" w:eastAsia="楷体_gb2312" w:cs="楷体_gb2312"/>
                <w:color w:val="333333"/>
                <w:kern w:val="0"/>
                <w:sz w:val="19"/>
                <w:szCs w:val="19"/>
                <w:bdr w:val="none" w:color="auto" w:sz="0" w:space="0"/>
                <w:lang w:val="en-US" w:eastAsia="zh-CN" w:bidi="ar"/>
              </w:rPr>
              <w:t>2．入学一年后，符合上海电机学院《学籍管理条例》要求可申请转专业。</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280" w:lineRule="atLeast"/>
              <w:ind w:left="0" w:right="0"/>
              <w:jc w:val="left"/>
              <w:rPr>
                <w:color w:val="333333"/>
                <w:sz w:val="14"/>
                <w:szCs w:val="14"/>
              </w:rPr>
            </w:pPr>
            <w:r>
              <w:rPr>
                <w:rFonts w:hint="default" w:ascii="楷体_gb2312" w:hAnsi="楷体_gb2312" w:eastAsia="楷体_gb2312" w:cs="楷体_gb2312"/>
                <w:color w:val="333333"/>
                <w:kern w:val="0"/>
                <w:sz w:val="19"/>
                <w:szCs w:val="19"/>
                <w:bdr w:val="none" w:color="auto" w:sz="0" w:space="0"/>
                <w:lang w:val="en-US" w:eastAsia="zh-CN" w:bidi="ar"/>
              </w:rPr>
              <w:t>3．本科教学在临港校区和闵行校区完成,部分专业教学地点可能根据学校规划进行调整。</w:t>
            </w:r>
          </w:p>
        </w:tc>
      </w:tr>
    </w:tbl>
    <w:p>
      <w:pPr>
        <w:rPr>
          <w:rFonts w:hint="eastAsia"/>
          <w:lang w:val="en-US" w:eastAsia="zh-CN"/>
        </w:rPr>
      </w:pPr>
    </w:p>
    <w:p>
      <w:pPr>
        <w:rPr>
          <w:rFonts w:hint="eastAsia" w:eastAsiaTheme="minorEastAsia"/>
          <w:lang w:val="en-US" w:eastAsia="zh-CN"/>
        </w:rPr>
      </w:pPr>
      <w:r>
        <w:rPr>
          <w:rFonts w:hint="eastAsia"/>
          <w:lang w:val="en-US" w:eastAsia="zh-CN"/>
        </w:rPr>
        <w:t>网址：https://zhaosheng.sdju.edu.cn/2023/0110/c4838a113560/page.htm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楷体_gb2312">
    <w:altName w:val="SimSun"/>
    <w:panose1 w:val="00000000000000000000"/>
    <w:charset w:val="00"/>
    <w:family w:val="auto"/>
    <w:pitch w:val="default"/>
    <w:sig w:usb0="00000000" w:usb1="00000000" w:usb2="00000000" w:usb3="00000000" w:csb0="00000000" w:csb1="00000000"/>
  </w:font>
  <w:font w:name="仿宋_gb2312">
    <w:altName w:val="FangSong"/>
    <w:panose1 w:val="00000000000000000000"/>
    <w:charset w:val="00"/>
    <w:family w:val="auto"/>
    <w:pitch w:val="default"/>
    <w:sig w:usb0="00000000" w:usb1="00000000" w:usb2="00000000" w:usb3="00000000" w:csb0="00000000" w:csb1="00000000"/>
  </w:font>
  <w:font w:name="FangSong">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4AEA6574"/>
    <w:rsid w:val="4AEA65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rPr>
      <w:sz w:val="24"/>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2023-02-04T17:13:00Z</dcterms:created>
  <dc:creator>阿Co</dc:creator>
  <cp:lastModifiedBy>阿Co</cp:lastModifiedBy>
  <dcterms:modified xsi:type="dcterms:W3CDTF">2023-02-04T17:21:10Z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537A7CE168C84154BBE3023F1C9E8328</vt:lpwstr>
  </property>
</Properties>
</file>