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360" w:lineRule="atLeast"/>
        <w:jc w:val="center"/>
        <w:rPr>
          <w:rFonts w:ascii="Segoe UI" w:hAnsi="Segoe UI" w:eastAsia="SimSun" w:cs="Segoe UI"/>
          <w:color w:val="000000"/>
          <w:kern w:val="0"/>
          <w:sz w:val="33"/>
          <w:szCs w:val="33"/>
        </w:rPr>
      </w:pPr>
      <w:r>
        <w:rPr>
          <w:rFonts w:ascii="Segoe UI" w:hAnsi="Segoe UI" w:eastAsia="SimSun" w:cs="Segoe UI"/>
          <w:color w:val="000000"/>
          <w:kern w:val="0"/>
          <w:sz w:val="33"/>
          <w:szCs w:val="33"/>
        </w:rPr>
        <w:t>三峡大学2023年</w:t>
      </w:r>
      <w:r>
        <w:rPr>
          <w:rFonts w:hint="eastAsia" w:ascii="Segoe UI" w:hAnsi="Segoe UI" w:eastAsia="SimSun" w:cs="Segoe UI"/>
          <w:color w:val="000000"/>
          <w:kern w:val="0"/>
          <w:sz w:val="33"/>
          <w:szCs w:val="33"/>
        </w:rPr>
        <w:t>依据台湾地区大学入学考试学科能力测试成绩招收台湾高中毕业生简章</w:t>
      </w:r>
    </w:p>
    <w:p>
      <w:pPr>
        <w:widowControl/>
        <w:shd w:val="clear" w:color="auto" w:fill="FFFFFF"/>
        <w:jc w:val="center"/>
        <w:rPr>
          <w:rFonts w:ascii="Segoe UI" w:hAnsi="Segoe UI" w:eastAsia="SimSun" w:cs="Segoe UI"/>
          <w:color w:val="666666"/>
          <w:kern w:val="0"/>
          <w:sz w:val="18"/>
          <w:szCs w:val="18"/>
        </w:rPr>
      </w:pPr>
    </w:p>
    <w:p>
      <w:pPr>
        <w:widowControl/>
        <w:shd w:val="clear" w:color="auto" w:fill="FFFFFF"/>
        <w:spacing w:line="500" w:lineRule="atLeast"/>
        <w:jc w:val="center"/>
        <w:rPr>
          <w:rFonts w:ascii="Segoe UI" w:hAnsi="Segoe UI" w:eastAsia="SimSun" w:cs="Segoe UI"/>
          <w:kern w:val="0"/>
          <w:szCs w:val="21"/>
        </w:rPr>
      </w:pP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根据教育部《2</w:t>
      </w:r>
      <w:r>
        <w:rPr>
          <w:rFonts w:ascii="华文仿宋" w:hAnsi="华文仿宋" w:eastAsia="华文仿宋" w:cs="Segoe UI"/>
          <w:kern w:val="0"/>
          <w:sz w:val="28"/>
          <w:szCs w:val="28"/>
        </w:rPr>
        <w:t>023年</w:t>
      </w:r>
      <w:r>
        <w:rPr>
          <w:rFonts w:hint="eastAsia" w:ascii="华文仿宋" w:hAnsi="华文仿宋" w:eastAsia="华文仿宋" w:cs="Segoe UI"/>
          <w:kern w:val="0"/>
          <w:sz w:val="28"/>
          <w:szCs w:val="28"/>
        </w:rPr>
        <w:t>普通高等学校依据台湾地区大学入学考试学科能力测试成绩招收台湾高中毕业生办法》精神，为做好我校202</w:t>
      </w:r>
      <w:r>
        <w:rPr>
          <w:rFonts w:ascii="华文仿宋" w:hAnsi="华文仿宋" w:eastAsia="华文仿宋" w:cs="Segoe UI"/>
          <w:kern w:val="0"/>
          <w:sz w:val="28"/>
          <w:szCs w:val="28"/>
        </w:rPr>
        <w:t>3</w:t>
      </w:r>
      <w:r>
        <w:rPr>
          <w:rFonts w:hint="eastAsia" w:ascii="华文仿宋" w:hAnsi="华文仿宋" w:eastAsia="华文仿宋" w:cs="Segoe UI"/>
          <w:kern w:val="0"/>
          <w:sz w:val="28"/>
          <w:szCs w:val="28"/>
        </w:rPr>
        <w:t>年依据台湾地区大学入学考试学科能力测试成绩（以下简称“学测”）招收台湾高中毕业生工作，特制定本简章。</w:t>
      </w:r>
    </w:p>
    <w:p>
      <w:pPr>
        <w:pStyle w:val="16"/>
        <w:widowControl/>
        <w:numPr>
          <w:ilvl w:val="0"/>
          <w:numId w:val="1"/>
        </w:numPr>
        <w:shd w:val="clear" w:color="auto" w:fill="FFFFFF"/>
        <w:spacing w:line="440" w:lineRule="atLeast"/>
        <w:ind w:firstLineChars="0"/>
        <w:rPr>
          <w:rFonts w:ascii="华文仿宋" w:hAnsi="华文仿宋" w:eastAsia="华文仿宋" w:cs="Segoe UI"/>
          <w:kern w:val="0"/>
          <w:sz w:val="28"/>
          <w:szCs w:val="28"/>
        </w:rPr>
      </w:pPr>
      <w:r>
        <w:rPr>
          <w:rFonts w:ascii="华文仿宋" w:hAnsi="华文仿宋" w:eastAsia="华文仿宋" w:cs="Segoe UI"/>
          <w:kern w:val="0"/>
          <w:sz w:val="28"/>
          <w:szCs w:val="28"/>
        </w:rPr>
        <w:t>学校简介：</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学校中文名称：三峡大学（以下简称学校），英文全称：China Three Gorges University，国家标准代码：11075。注册地址：湖北省宜昌市大学路8号，邮政编码：443002。</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学校是国家水利部和湖北省人民政府共建大学，是教育部“卓越工程师教育培养计划”高校、“全国毕业生就业典型经验”高校、“全国高校毕业生就业能力培训基地”高校，具有学士、硕士、博士学位授予权，并设有博士后科研流动站。2018年，学校被省人民政府列为“国内一流大学建设高校”，水利工程、土木工程、电气工程等3个学科被列为“国内一流学科建设学科”。目前，三峡大学已发展成为水利电力特色与优势比较明显、综合办学实力较强、享有较高社会声誉、具有较大发展潜力的综合性大学。</w:t>
      </w:r>
    </w:p>
    <w:p>
      <w:pPr>
        <w:pStyle w:val="16"/>
        <w:widowControl/>
        <w:numPr>
          <w:ilvl w:val="0"/>
          <w:numId w:val="1"/>
        </w:numPr>
        <w:shd w:val="clear" w:color="auto" w:fill="FFFFFF"/>
        <w:spacing w:line="440" w:lineRule="atLeast"/>
        <w:ind w:firstLineChars="0"/>
        <w:rPr>
          <w:rFonts w:ascii="华文仿宋" w:hAnsi="华文仿宋" w:eastAsia="华文仿宋" w:cs="Segoe UI"/>
          <w:kern w:val="0"/>
          <w:sz w:val="28"/>
          <w:szCs w:val="28"/>
        </w:rPr>
      </w:pPr>
      <w:r>
        <w:rPr>
          <w:rFonts w:hint="eastAsia" w:ascii="华文仿宋" w:hAnsi="华文仿宋" w:eastAsia="华文仿宋" w:cs="Segoe UI"/>
          <w:kern w:val="0"/>
          <w:sz w:val="28"/>
          <w:szCs w:val="28"/>
        </w:rPr>
        <w:t>报名条件及办法</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（一）</w:t>
      </w:r>
      <w:r>
        <w:rPr>
          <w:rFonts w:ascii="华文仿宋" w:hAnsi="华文仿宋" w:eastAsia="华文仿宋" w:cs="Segoe UI"/>
          <w:kern w:val="0"/>
          <w:sz w:val="28"/>
          <w:szCs w:val="28"/>
        </w:rPr>
        <w:t>报名条件</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1</w:t>
      </w:r>
      <w:r>
        <w:rPr>
          <w:rFonts w:ascii="华文仿宋" w:hAnsi="华文仿宋" w:eastAsia="华文仿宋" w:cs="Segoe UI"/>
          <w:kern w:val="0"/>
          <w:sz w:val="28"/>
          <w:szCs w:val="28"/>
        </w:rPr>
        <w:t xml:space="preserve">. </w:t>
      </w:r>
      <w:r>
        <w:rPr>
          <w:rFonts w:hint="eastAsia" w:ascii="华文仿宋" w:hAnsi="华文仿宋" w:eastAsia="华文仿宋" w:cs="Segoe UI"/>
          <w:kern w:val="0"/>
          <w:sz w:val="28"/>
          <w:szCs w:val="28"/>
        </w:rPr>
        <w:t>品行端正、无犯罪记录、身体健康，且持有《台湾居民居住证》或《台湾居民来往大陆通行证》、以及在台湾居住的有效身份证明；</w:t>
      </w:r>
      <w:r>
        <w:rPr>
          <w:rFonts w:ascii="华文仿宋" w:hAnsi="华文仿宋" w:eastAsia="华文仿宋" w:cs="Segoe UI"/>
          <w:kern w:val="0"/>
          <w:sz w:val="28"/>
          <w:szCs w:val="28"/>
        </w:rPr>
        <w:t>考生所持证件须与考生本人信息一致，且在有效期之内。</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2</w:t>
      </w:r>
      <w:r>
        <w:rPr>
          <w:rFonts w:ascii="华文仿宋" w:hAnsi="华文仿宋" w:eastAsia="华文仿宋" w:cs="Segoe UI"/>
          <w:kern w:val="0"/>
          <w:sz w:val="28"/>
          <w:szCs w:val="28"/>
        </w:rPr>
        <w:t xml:space="preserve">. </w:t>
      </w:r>
      <w:r>
        <w:rPr>
          <w:rFonts w:hint="eastAsia" w:ascii="华文仿宋" w:hAnsi="华文仿宋" w:eastAsia="华文仿宋" w:cs="Segoe UI"/>
          <w:kern w:val="0"/>
          <w:sz w:val="28"/>
          <w:szCs w:val="28"/>
        </w:rPr>
        <w:t>参加当年台湾地区学测的台湾高中毕业生，语文、数学、英文三科成绩均达到均标级及以上。艺术、体育领域具有卓越潜能及专长的学生，其语文、数学、英文任意一科成绩达到均标级及以上。</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（二）</w:t>
      </w:r>
      <w:r>
        <w:rPr>
          <w:rFonts w:ascii="华文仿宋" w:hAnsi="华文仿宋" w:eastAsia="华文仿宋" w:cs="Segoe UI"/>
          <w:kern w:val="0"/>
          <w:sz w:val="28"/>
          <w:szCs w:val="28"/>
        </w:rPr>
        <w:t>报名时间</w:t>
      </w:r>
    </w:p>
    <w:p>
      <w:pPr>
        <w:spacing w:line="360" w:lineRule="auto"/>
        <w:ind w:firstLine="560" w:firstLineChars="200"/>
        <w:rPr>
          <w:rFonts w:ascii="华文仿宋" w:hAnsi="华文仿宋" w:eastAsia="华文仿宋" w:cs="Segoe UI"/>
          <w:kern w:val="0"/>
          <w:sz w:val="28"/>
          <w:szCs w:val="28"/>
        </w:rPr>
      </w:pPr>
      <w:r>
        <w:rPr>
          <w:rFonts w:ascii="华文仿宋" w:hAnsi="华文仿宋" w:eastAsia="华文仿宋" w:cs="Segoe UI"/>
          <w:kern w:val="0"/>
          <w:sz w:val="28"/>
          <w:szCs w:val="28"/>
        </w:rPr>
        <w:t>报名时间：2023年3月1日至31日。</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（三）</w:t>
      </w:r>
      <w:r>
        <w:rPr>
          <w:rFonts w:ascii="华文仿宋" w:hAnsi="华文仿宋" w:eastAsia="华文仿宋" w:cs="Segoe UI"/>
          <w:kern w:val="0"/>
          <w:sz w:val="28"/>
          <w:szCs w:val="28"/>
        </w:rPr>
        <w:t>报名方式</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1．考生登录祖国大陆普通高校依据台湾地区学测成绩招收台湾高中毕业生系统（网址：https://www.gatzs.com.cn/z/tw/）进行报名，并按照要求输入个人信息，上传个人证件、电子照片、学测成绩、考生诚信承诺书等基本材料，提交成绩查验授权书及我校要求的其他材料（包含近期全身彩色电子照片1张、加盖学校公章的中学阶段学习成绩证明、参加社会实践活动证明、各类获奖证书等）。报名截止前，考生可修改基本材料和其他材料。报名截止后，考生原则上不可修改基本材料。考生应准确填写个人网上报名信息并提供真实材料。</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2．报考艺术类或体育类专业的考生，须于3月31日前将以下材料上传至报名系统，并以“姓名+支撑材料”的方式命名发送至邮箱：gat@ctgu.edu.cn</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1）报考艺术设计类专业的考生可提供环境设计、视觉传达设计、产品设计、动画艺术、数字媒体艺术等专业所涉及的相关专业课程及艺术史论课程学习的科目考试成绩、获奖证书及其他实践经历等能证明自己具备艺术设计特长的证明材料；</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（2）报考表演类专业的考生，可提供音乐表演、舞蹈表演、播音与主持等视频资料、获奖证书及其他实践经历等能证明自己具备相关才艺和特长的证明材料；</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（3）报考美术类专业的考生，可提交素描、速写、色彩或设计创作作品、获奖证书及其他能证明自己具备相关才艺和特长的证明材料。</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（4）报考体育类专业的考生，可提供体育相关学习科目考试成绩、获奖证书及其他能证明自己具备相关特长的证明材料。</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3．备注：</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（1）考生应准确填写个人网上报名信息并提供真实材料。</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（2）因不符合报考条件及相关要求、填报信息错误或填报虚假信息造成的一切后果，由考生本人承担。</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（3）系统报名不收取考生报考费。</w:t>
      </w:r>
    </w:p>
    <w:p>
      <w:pPr>
        <w:pStyle w:val="16"/>
        <w:widowControl/>
        <w:numPr>
          <w:ilvl w:val="0"/>
          <w:numId w:val="1"/>
        </w:numPr>
        <w:shd w:val="clear" w:color="auto" w:fill="FFFFFF"/>
        <w:spacing w:line="440" w:lineRule="atLeast"/>
        <w:ind w:firstLineChars="0"/>
        <w:rPr>
          <w:rFonts w:ascii="华文仿宋" w:hAnsi="华文仿宋" w:eastAsia="华文仿宋" w:cs="Segoe UI"/>
          <w:kern w:val="0"/>
          <w:sz w:val="28"/>
          <w:szCs w:val="28"/>
        </w:rPr>
      </w:pPr>
      <w:r>
        <w:rPr>
          <w:rFonts w:hint="eastAsia" w:ascii="华文仿宋" w:hAnsi="华文仿宋" w:eastAsia="华文仿宋" w:cs="Segoe UI"/>
          <w:kern w:val="0"/>
          <w:sz w:val="28"/>
          <w:szCs w:val="28"/>
        </w:rPr>
        <w:t>填报志愿</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志愿填报采取平行志愿方式。填报志愿前，考生须认真阅读报名系统操作指南、我校招生简章，了解我校的基本情况、招生专业、自主确定的招生要求、收费标准、录取原则及其他注意事项，按报考条件及相关要求填报志愿。</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考生可在我校招生专业中选择6个作为专业志愿，并选择是否服从专业调剂。考生可在报名截止前修改志愿，逾期不得修改。</w:t>
      </w:r>
    </w:p>
    <w:p>
      <w:pPr>
        <w:pStyle w:val="16"/>
        <w:widowControl/>
        <w:numPr>
          <w:ilvl w:val="0"/>
          <w:numId w:val="1"/>
        </w:numPr>
        <w:shd w:val="clear" w:color="auto" w:fill="FFFFFF"/>
        <w:spacing w:line="440" w:lineRule="atLeast"/>
        <w:ind w:firstLineChars="0"/>
        <w:rPr>
          <w:rFonts w:ascii="华文仿宋" w:hAnsi="华文仿宋" w:eastAsia="华文仿宋" w:cs="Segoe UI"/>
          <w:kern w:val="0"/>
          <w:sz w:val="28"/>
          <w:szCs w:val="28"/>
        </w:rPr>
      </w:pPr>
      <w:r>
        <w:rPr>
          <w:rFonts w:ascii="华文仿宋" w:hAnsi="华文仿宋" w:eastAsia="华文仿宋" w:cs="Segoe UI"/>
          <w:kern w:val="0"/>
          <w:sz w:val="28"/>
          <w:szCs w:val="28"/>
        </w:rPr>
        <w:t>招生计划和专业</w:t>
      </w:r>
    </w:p>
    <w:p>
      <w:pPr>
        <w:widowControl/>
        <w:shd w:val="clear" w:color="auto" w:fill="FFFFFF"/>
        <w:spacing w:line="440" w:lineRule="atLeast"/>
        <w:ind w:firstLine="561"/>
        <w:rPr>
          <w:rFonts w:ascii="华文仿宋" w:hAnsi="华文仿宋" w:eastAsia="华文仿宋" w:cs="Segoe UI"/>
          <w:kern w:val="0"/>
          <w:sz w:val="28"/>
          <w:szCs w:val="28"/>
        </w:rPr>
      </w:pPr>
      <w:r>
        <w:rPr>
          <w:rFonts w:ascii="华文仿宋" w:hAnsi="华文仿宋" w:eastAsia="华文仿宋" w:cs="Segoe UI"/>
          <w:kern w:val="0"/>
          <w:sz w:val="28"/>
          <w:szCs w:val="28"/>
        </w:rPr>
        <w:t>根据我校实际情况，</w:t>
      </w:r>
      <w:r>
        <w:rPr>
          <w:rFonts w:hint="eastAsia" w:ascii="华文仿宋" w:hAnsi="华文仿宋" w:eastAsia="华文仿宋" w:cs="Segoe UI"/>
          <w:kern w:val="0"/>
          <w:sz w:val="28"/>
          <w:szCs w:val="28"/>
        </w:rPr>
        <w:t>2</w:t>
      </w:r>
      <w:r>
        <w:rPr>
          <w:rFonts w:ascii="华文仿宋" w:hAnsi="华文仿宋" w:eastAsia="华文仿宋" w:cs="Segoe UI"/>
          <w:kern w:val="0"/>
          <w:sz w:val="28"/>
          <w:szCs w:val="28"/>
        </w:rPr>
        <w:t>023年拟招收</w:t>
      </w:r>
      <w:r>
        <w:rPr>
          <w:rFonts w:hint="eastAsia" w:ascii="华文仿宋" w:hAnsi="华文仿宋" w:eastAsia="华文仿宋" w:cs="Segoe UI"/>
          <w:kern w:val="0"/>
          <w:sz w:val="28"/>
          <w:szCs w:val="28"/>
        </w:rPr>
        <w:t>台湾地区学生</w:t>
      </w:r>
      <w:r>
        <w:rPr>
          <w:rFonts w:ascii="华文仿宋" w:hAnsi="华文仿宋" w:eastAsia="华文仿宋" w:cs="Segoe UI"/>
          <w:kern w:val="0"/>
          <w:sz w:val="28"/>
          <w:szCs w:val="28"/>
        </w:rPr>
        <w:t>10人（</w:t>
      </w:r>
      <w:r>
        <w:rPr>
          <w:rFonts w:hint="eastAsia" w:ascii="华文仿宋" w:hAnsi="华文仿宋" w:eastAsia="华文仿宋" w:cs="Segoe UI"/>
          <w:kern w:val="0"/>
          <w:sz w:val="28"/>
          <w:szCs w:val="28"/>
        </w:rPr>
        <w:t>我校可根据生源情况，对招生计划进行适当调整）。</w:t>
      </w:r>
      <w:r>
        <w:rPr>
          <w:rFonts w:ascii="华文仿宋" w:hAnsi="华文仿宋" w:eastAsia="华文仿宋" w:cs="Segoe UI"/>
          <w:kern w:val="0"/>
          <w:sz w:val="28"/>
          <w:szCs w:val="28"/>
        </w:rPr>
        <w:t>专业名称、类别和学制见下表：</w:t>
      </w:r>
    </w:p>
    <w:tbl>
      <w:tblPr>
        <w:tblStyle w:val="8"/>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2977"/>
        <w:gridCol w:w="992"/>
        <w:gridCol w:w="851"/>
        <w:gridCol w:w="1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shd w:val="clear" w:color="000000" w:fill="FFFFFF"/>
            <w:vAlign w:val="center"/>
          </w:tcPr>
          <w:p>
            <w:pPr>
              <w:widowControl/>
              <w:jc w:val="center"/>
              <w:rPr>
                <w:rFonts w:ascii="FangSong" w:hAnsi="FangSong" w:eastAsia="FangSong" w:cs="Segoe UI"/>
                <w:b/>
                <w:bCs/>
                <w:color w:val="000000" w:themeColor="text1"/>
                <w:kern w:val="0"/>
                <w:szCs w:val="21"/>
                <w14:textFill>
                  <w14:solidFill>
                    <w14:schemeClr w14:val="tx1"/>
                  </w14:solidFill>
                </w14:textFill>
              </w:rPr>
            </w:pPr>
            <w:r>
              <w:rPr>
                <w:rFonts w:hint="eastAsia" w:ascii="FangSong" w:hAnsi="FangSong" w:eastAsia="FangSong" w:cs="Segoe UI"/>
                <w:b/>
                <w:bCs/>
                <w:color w:val="000000" w:themeColor="text1"/>
                <w:kern w:val="0"/>
                <w:szCs w:val="21"/>
                <w14:textFill>
                  <w14:solidFill>
                    <w14:schemeClr w14:val="tx1"/>
                  </w14:solidFill>
                </w14:textFill>
              </w:rPr>
              <w:t>学院名称</w:t>
            </w:r>
          </w:p>
        </w:tc>
        <w:tc>
          <w:tcPr>
            <w:tcW w:w="2977" w:type="dxa"/>
            <w:shd w:val="clear" w:color="000000" w:fill="FFFFFF"/>
            <w:vAlign w:val="center"/>
          </w:tcPr>
          <w:p>
            <w:pPr>
              <w:widowControl/>
              <w:jc w:val="center"/>
              <w:rPr>
                <w:rFonts w:ascii="FangSong" w:hAnsi="FangSong" w:eastAsia="FangSong" w:cs="Segoe UI"/>
                <w:b/>
                <w:bCs/>
                <w:color w:val="000000" w:themeColor="text1"/>
                <w:kern w:val="0"/>
                <w:szCs w:val="21"/>
                <w14:textFill>
                  <w14:solidFill>
                    <w14:schemeClr w14:val="tx1"/>
                  </w14:solidFill>
                </w14:textFill>
              </w:rPr>
            </w:pPr>
            <w:r>
              <w:rPr>
                <w:rFonts w:hint="eastAsia" w:ascii="FangSong" w:hAnsi="FangSong" w:eastAsia="FangSong" w:cs="Segoe UI"/>
                <w:b/>
                <w:bCs/>
                <w:color w:val="000000" w:themeColor="text1"/>
                <w:kern w:val="0"/>
                <w:szCs w:val="21"/>
                <w14:textFill>
                  <w14:solidFill>
                    <w14:schemeClr w14:val="tx1"/>
                  </w14:solidFill>
                </w14:textFill>
              </w:rPr>
              <w:t>专业名称</w:t>
            </w:r>
          </w:p>
        </w:tc>
        <w:tc>
          <w:tcPr>
            <w:tcW w:w="992" w:type="dxa"/>
            <w:shd w:val="clear" w:color="000000" w:fill="FFFFFF"/>
            <w:vAlign w:val="center"/>
          </w:tcPr>
          <w:p>
            <w:pPr>
              <w:widowControl/>
              <w:jc w:val="center"/>
              <w:rPr>
                <w:rFonts w:ascii="FangSong" w:hAnsi="FangSong" w:eastAsia="FangSong" w:cs="Segoe UI"/>
                <w:b/>
                <w:bCs/>
                <w:color w:val="000000" w:themeColor="text1"/>
                <w:kern w:val="0"/>
                <w:szCs w:val="21"/>
                <w14:textFill>
                  <w14:solidFill>
                    <w14:schemeClr w14:val="tx1"/>
                  </w14:solidFill>
                </w14:textFill>
              </w:rPr>
            </w:pPr>
            <w:r>
              <w:rPr>
                <w:rFonts w:hint="eastAsia" w:ascii="FangSong" w:hAnsi="FangSong" w:eastAsia="FangSong" w:cs="Segoe UI"/>
                <w:b/>
                <w:bCs/>
                <w:color w:val="000000" w:themeColor="text1"/>
                <w:kern w:val="0"/>
                <w:szCs w:val="21"/>
                <w14:textFill>
                  <w14:solidFill>
                    <w14:schemeClr w14:val="tx1"/>
                  </w14:solidFill>
                </w14:textFill>
              </w:rPr>
              <w:t>类别</w:t>
            </w:r>
          </w:p>
        </w:tc>
        <w:tc>
          <w:tcPr>
            <w:tcW w:w="851" w:type="dxa"/>
            <w:shd w:val="clear" w:color="000000" w:fill="FFFFFF"/>
            <w:vAlign w:val="center"/>
          </w:tcPr>
          <w:p>
            <w:pPr>
              <w:widowControl/>
              <w:jc w:val="center"/>
              <w:rPr>
                <w:rFonts w:ascii="FangSong" w:hAnsi="FangSong" w:eastAsia="FangSong" w:cs="Segoe UI"/>
                <w:b/>
                <w:bCs/>
                <w:color w:val="000000" w:themeColor="text1"/>
                <w:kern w:val="0"/>
                <w:szCs w:val="21"/>
                <w14:textFill>
                  <w14:solidFill>
                    <w14:schemeClr w14:val="tx1"/>
                  </w14:solidFill>
                </w14:textFill>
              </w:rPr>
            </w:pPr>
            <w:r>
              <w:rPr>
                <w:rFonts w:hint="eastAsia" w:ascii="FangSong" w:hAnsi="FangSong" w:eastAsia="FangSong" w:cs="Segoe UI"/>
                <w:b/>
                <w:bCs/>
                <w:color w:val="000000" w:themeColor="text1"/>
                <w:kern w:val="0"/>
                <w:szCs w:val="21"/>
                <w14:textFill>
                  <w14:solidFill>
                    <w14:schemeClr w14:val="tx1"/>
                  </w14:solidFill>
                </w14:textFill>
              </w:rPr>
              <w:t>学制</w:t>
            </w:r>
          </w:p>
        </w:tc>
        <w:tc>
          <w:tcPr>
            <w:tcW w:w="1780" w:type="dxa"/>
            <w:shd w:val="clear" w:color="000000" w:fill="FFFFFF"/>
            <w:vAlign w:val="center"/>
          </w:tcPr>
          <w:p>
            <w:pPr>
              <w:widowControl/>
              <w:jc w:val="center"/>
              <w:rPr>
                <w:rFonts w:ascii="FangSong" w:hAnsi="FangSong" w:eastAsia="FangSong" w:cs="Segoe UI"/>
                <w:b/>
                <w:bCs/>
                <w:color w:val="000000" w:themeColor="text1"/>
                <w:kern w:val="0"/>
                <w:szCs w:val="21"/>
                <w14:textFill>
                  <w14:solidFill>
                    <w14:schemeClr w14:val="tx1"/>
                  </w14:solidFill>
                </w14:textFill>
              </w:rPr>
            </w:pPr>
            <w:r>
              <w:rPr>
                <w:rFonts w:hint="eastAsia" w:ascii="FangSong" w:hAnsi="FangSong" w:eastAsia="FangSong" w:cs="Segoe UI"/>
                <w:b/>
                <w:bCs/>
                <w:color w:val="000000" w:themeColor="text1"/>
                <w:kern w:val="0"/>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0" w:hRule="atLeast"/>
          <w:jc w:val="center"/>
        </w:trPr>
        <w:tc>
          <w:tcPr>
            <w:tcW w:w="1696" w:type="dxa"/>
            <w:vMerge w:val="restart"/>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水利与环境学院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水利水电工程</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水文与水资源工程</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港口航道与海岸工程</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工程管理(工程造价作为工程管理的专业方向)</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环境工程</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1696" w:type="dxa"/>
            <w:vMerge w:val="restart"/>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土木与建筑学院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土木类(土木工程、地质工程</w:t>
            </w:r>
            <w:r>
              <w:rPr>
                <w:rFonts w:ascii="FangSong" w:hAnsi="FangSong" w:eastAsia="FangSong" w:cs="Segoe UI"/>
                <w:color w:val="000000" w:themeColor="text1"/>
                <w:kern w:val="0"/>
                <w:szCs w:val="21"/>
                <w14:textFill>
                  <w14:solidFill>
                    <w14:schemeClr w14:val="tx1"/>
                  </w14:solidFill>
                </w14:textFill>
              </w:rPr>
              <w:t>)</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建筑类</w:t>
            </w:r>
            <w:r>
              <w:rPr>
                <w:rFonts w:ascii="FangSong" w:hAnsi="FangSong" w:eastAsia="FangSong" w:cs="Segoe UI"/>
                <w:color w:val="000000" w:themeColor="text1"/>
                <w:kern w:val="0"/>
                <w:szCs w:val="21"/>
                <w14:textFill>
                  <w14:solidFill>
                    <w14:schemeClr w14:val="tx1"/>
                  </w14:solidFill>
                </w14:textFill>
              </w:rPr>
              <w:t>(</w:t>
            </w:r>
            <w:r>
              <w:rPr>
                <w:rFonts w:hint="eastAsia" w:ascii="FangSong" w:hAnsi="FangSong" w:eastAsia="FangSong" w:cs="Segoe UI"/>
                <w:color w:val="000000" w:themeColor="text1"/>
                <w:kern w:val="0"/>
                <w:szCs w:val="21"/>
                <w14:textFill>
                  <w14:solidFill>
                    <w14:schemeClr w14:val="tx1"/>
                  </w14:solidFill>
                </w14:textFill>
              </w:rPr>
              <w:t>建筑学、城乡规划</w:t>
            </w:r>
            <w:r>
              <w:rPr>
                <w:rFonts w:ascii="FangSong" w:hAnsi="FangSong" w:eastAsia="FangSong" w:cs="Segoe UI"/>
                <w:color w:val="000000" w:themeColor="text1"/>
                <w:kern w:val="0"/>
                <w:szCs w:val="21"/>
                <w14:textFill>
                  <w14:solidFill>
                    <w14:schemeClr w14:val="tx1"/>
                  </w14:solidFill>
                </w14:textFill>
              </w:rPr>
              <w:t>)</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五年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restart"/>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机械与动力学院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机械设计制造及其自动化</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能源与动力工程</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智能制造工程</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restart"/>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材料与化工学院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化学工程与工艺</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材料类(金属材料工程、新能源材料与器件</w:t>
            </w:r>
            <w:r>
              <w:rPr>
                <w:rFonts w:ascii="FangSong" w:hAnsi="FangSong" w:eastAsia="FangSong" w:cs="Segoe UI"/>
                <w:color w:val="000000" w:themeColor="text1"/>
                <w:kern w:val="0"/>
                <w:szCs w:val="21"/>
                <w14:textFill>
                  <w14:solidFill>
                    <w14:schemeClr w14:val="tx1"/>
                  </w14:solidFill>
                </w14:textFill>
              </w:rPr>
              <w:t>)</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化学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restart"/>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电气与新能源学院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电气工程及其自动化</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电气工程及其自动化(输电线路工程方向)</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自动化</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智能电网信息工程</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电气工程及其自动化(中外合作办学)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olor w:val="000000" w:themeColor="text1"/>
                <w:shd w:val="clear" w:color="auto" w:fill="FFFFFF"/>
                <w14:textFill>
                  <w14:solidFill>
                    <w14:schemeClr w14:val="tx1"/>
                  </w14:solidFill>
                </w14:textFill>
              </w:rPr>
              <w:t>高收费专业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restart"/>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计算机与信息学院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计算机类（计算机科学与技术、数据科学与大数据技术）</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通信工程</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restart"/>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经济与管理学院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财务管理</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金融学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国际经济与贸易</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旅游管理</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人力资源管理</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物流管理</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restart"/>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基础医学院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临床医学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五年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医学影像学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五年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restart"/>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健康医学院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中医学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五年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预防医学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五年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护理学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药学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jc w:val="center"/>
        </w:trPr>
        <w:tc>
          <w:tcPr>
            <w:tcW w:w="1696" w:type="dxa"/>
            <w:vMerge w:val="restart"/>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文学与传媒学院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中国语言文学类(汉语言文学、汉语国际教育</w:t>
            </w:r>
            <w:r>
              <w:rPr>
                <w:rFonts w:ascii="FangSong" w:hAnsi="FangSong" w:eastAsia="FangSong" w:cs="Segoe UI"/>
                <w:color w:val="000000" w:themeColor="text1"/>
                <w:kern w:val="0"/>
                <w:szCs w:val="21"/>
                <w14:textFill>
                  <w14:solidFill>
                    <w14:schemeClr w14:val="tx1"/>
                  </w14:solidFill>
                </w14:textFill>
              </w:rPr>
              <w:t>)</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highlight w:val="yellow"/>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广播电视学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highlight w:val="yellow"/>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播音与主持艺术</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艺术类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olor w:val="000000" w:themeColor="text1"/>
                <w:shd w:val="clear" w:color="auto" w:fill="FFFFFF"/>
                <w14:textFill>
                  <w14:solidFill>
                    <w14:schemeClr w14:val="tx1"/>
                  </w14:solidFill>
                </w14:textFill>
              </w:rPr>
              <w:t>身材匀称，五官端正，发音器官无疾病，无色盲、夜盲；建议报考考生女生身高162厘米以上，男生身高172厘米以上。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restart"/>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法学与公共管理学院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highlight w:val="yellow"/>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法学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highlight w:val="yellow"/>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公共管理类(行政管理</w:t>
            </w:r>
            <w:r>
              <w:rPr>
                <w:rFonts w:ascii="FangSong" w:hAnsi="FangSong" w:eastAsia="FangSong" w:cs="Segoe UI"/>
                <w:color w:val="000000" w:themeColor="text1"/>
                <w:kern w:val="0"/>
                <w:szCs w:val="21"/>
                <w14:textFill>
                  <w14:solidFill>
                    <w14:schemeClr w14:val="tx1"/>
                  </w14:solidFill>
                </w14:textFill>
              </w:rPr>
              <w:t>)</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696" w:type="dxa"/>
            <w:vMerge w:val="restart"/>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理学院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物理学(设物理学、教师教育、光电信息3个方向)</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数学类(数学与应用数学、统计学,设教师教育、大数据与科学计算2个专业方向</w:t>
            </w:r>
            <w:r>
              <w:rPr>
                <w:rFonts w:ascii="FangSong" w:hAnsi="FangSong" w:eastAsia="FangSong" w:cs="Segoe UI"/>
                <w:color w:val="000000" w:themeColor="text1"/>
                <w:kern w:val="0"/>
                <w:szCs w:val="21"/>
                <w14:textFill>
                  <w14:solidFill>
                    <w14:schemeClr w14:val="tx1"/>
                  </w14:solidFill>
                </w14:textFill>
              </w:rPr>
              <w:t>)</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restart"/>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生物与制药学院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制药工程</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生物工程</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生物科学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restart"/>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艺术学院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音乐学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艺术类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设计学类(环境设计、视觉传达设计</w:t>
            </w:r>
            <w:r>
              <w:rPr>
                <w:rFonts w:ascii="FangSong" w:hAnsi="FangSong" w:eastAsia="FangSong" w:cs="Segoe UI"/>
                <w:color w:val="000000" w:themeColor="text1"/>
                <w:kern w:val="0"/>
                <w:szCs w:val="21"/>
                <w14:textFill>
                  <w14:solidFill>
                    <w14:schemeClr w14:val="tx1"/>
                  </w14:solidFill>
                </w14:textFill>
              </w:rPr>
              <w:t>)</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艺术类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美术学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艺术类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696" w:type="dxa"/>
            <w:vMerge w:val="continue"/>
            <w:vAlign w:val="center"/>
          </w:tcPr>
          <w:p>
            <w:pPr>
              <w:widowControl/>
              <w:jc w:val="left"/>
              <w:rPr>
                <w:rFonts w:ascii="FangSong" w:hAnsi="FangSong" w:eastAsia="FangSong" w:cs="Segoe UI"/>
                <w:color w:val="000000" w:themeColor="text1"/>
                <w:kern w:val="0"/>
                <w:szCs w:val="21"/>
                <w14:textFill>
                  <w14:solidFill>
                    <w14:schemeClr w14:val="tx1"/>
                  </w14:solidFill>
                </w14:textFill>
              </w:rPr>
            </w:pP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舞蹈学</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艺术类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696"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体育学院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体育学类(体育教育、社会体育指导与管理</w:t>
            </w:r>
            <w:r>
              <w:rPr>
                <w:rFonts w:ascii="FangSong" w:hAnsi="FangSong" w:eastAsia="FangSong" w:cs="Segoe UI"/>
                <w:color w:val="000000" w:themeColor="text1"/>
                <w:kern w:val="0"/>
                <w:szCs w:val="21"/>
                <w14:textFill>
                  <w14:solidFill>
                    <w14:schemeClr w14:val="tx1"/>
                  </w14:solidFill>
                </w14:textFill>
              </w:rPr>
              <w:t>)</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体育类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696"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外国语学院</w:t>
            </w:r>
          </w:p>
        </w:tc>
        <w:tc>
          <w:tcPr>
            <w:tcW w:w="2977" w:type="dxa"/>
            <w:shd w:val="clear" w:color="000000" w:fill="FFFFFF"/>
            <w:vAlign w:val="center"/>
          </w:tcPr>
          <w:p>
            <w:pPr>
              <w:widowControl/>
              <w:jc w:val="left"/>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外国语言文学类(英语、法语、日语</w:t>
            </w:r>
            <w:r>
              <w:rPr>
                <w:rFonts w:ascii="FangSong" w:hAnsi="FangSong" w:eastAsia="FangSong" w:cs="Segoe UI"/>
                <w:color w:val="000000" w:themeColor="text1"/>
                <w:kern w:val="0"/>
                <w:szCs w:val="21"/>
                <w14:textFill>
                  <w14:solidFill>
                    <w14:schemeClr w14:val="tx1"/>
                  </w14:solidFill>
                </w14:textFill>
              </w:rPr>
              <w:t>)</w:t>
            </w:r>
          </w:p>
        </w:tc>
        <w:tc>
          <w:tcPr>
            <w:tcW w:w="992"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ascii="FangSong" w:hAnsi="FangSong" w:eastAsia="FangSong" w:cs="Segoe UI"/>
                <w:color w:val="000000" w:themeColor="text1"/>
                <w:kern w:val="0"/>
                <w:szCs w:val="21"/>
                <w14:textFill>
                  <w14:solidFill>
                    <w14:schemeClr w14:val="tx1"/>
                  </w14:solidFill>
                </w14:textFill>
              </w:rPr>
              <w:t>普通类</w:t>
            </w:r>
          </w:p>
        </w:tc>
        <w:tc>
          <w:tcPr>
            <w:tcW w:w="851"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四年</w:t>
            </w:r>
          </w:p>
        </w:tc>
        <w:tc>
          <w:tcPr>
            <w:tcW w:w="1780" w:type="dxa"/>
            <w:shd w:val="clear" w:color="000000" w:fill="FFFFFF"/>
            <w:vAlign w:val="center"/>
          </w:tcPr>
          <w:p>
            <w:pPr>
              <w:widowControl/>
              <w:jc w:val="center"/>
              <w:rPr>
                <w:rFonts w:ascii="FangSong" w:hAnsi="FangSong" w:eastAsia="FangSong" w:cs="Segoe UI"/>
                <w:color w:val="000000" w:themeColor="text1"/>
                <w:kern w:val="0"/>
                <w:szCs w:val="21"/>
                <w14:textFill>
                  <w14:solidFill>
                    <w14:schemeClr w14:val="tx1"/>
                  </w14:solidFill>
                </w14:textFill>
              </w:rPr>
            </w:pPr>
            <w:r>
              <w:rPr>
                <w:rFonts w:hint="eastAsia" w:ascii="FangSong" w:hAnsi="FangSong" w:eastAsia="FangSong" w:cs="Segoe UI"/>
                <w:color w:val="000000" w:themeColor="text1"/>
                <w:kern w:val="0"/>
                <w:szCs w:val="21"/>
                <w14:textFill>
                  <w14:solidFill>
                    <w14:schemeClr w14:val="tx1"/>
                  </w14:solidFill>
                </w14:textFill>
              </w:rPr>
              <w:t xml:space="preserve"> </w:t>
            </w:r>
          </w:p>
        </w:tc>
      </w:tr>
    </w:tbl>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学校对考生身体状况要求执行《普通高等学校招生体检工作指导意见》及有关补充规定。此外，化学工程与工艺专业、美术学、设计学类色弱受限；电气工程及其自动化、建筑类、材料类专业色盲受限。</w:t>
      </w:r>
    </w:p>
    <w:p>
      <w:pPr>
        <w:pStyle w:val="16"/>
        <w:widowControl/>
        <w:numPr>
          <w:ilvl w:val="0"/>
          <w:numId w:val="1"/>
        </w:numPr>
        <w:shd w:val="clear" w:color="auto" w:fill="FFFFFF"/>
        <w:spacing w:line="440" w:lineRule="atLeast"/>
        <w:ind w:firstLineChars="0"/>
        <w:rPr>
          <w:rFonts w:ascii="华文仿宋" w:hAnsi="华文仿宋" w:eastAsia="华文仿宋" w:cs="Segoe UI"/>
          <w:kern w:val="0"/>
          <w:sz w:val="28"/>
          <w:szCs w:val="28"/>
        </w:rPr>
      </w:pPr>
      <w:r>
        <w:rPr>
          <w:rFonts w:ascii="华文仿宋" w:hAnsi="华文仿宋" w:eastAsia="华文仿宋" w:cs="Segoe UI"/>
          <w:kern w:val="0"/>
          <w:sz w:val="28"/>
          <w:szCs w:val="28"/>
        </w:rPr>
        <w:t>审核及录取</w:t>
      </w:r>
    </w:p>
    <w:p>
      <w:pPr>
        <w:pStyle w:val="16"/>
        <w:widowControl/>
        <w:shd w:val="clear" w:color="auto" w:fill="FFFFFF"/>
        <w:spacing w:line="440" w:lineRule="atLeast"/>
        <w:ind w:left="420" w:firstLine="560"/>
        <w:rPr>
          <w:rFonts w:ascii="华文仿宋" w:hAnsi="华文仿宋" w:eastAsia="华文仿宋" w:cs="Segoe UI"/>
          <w:kern w:val="0"/>
          <w:sz w:val="28"/>
          <w:szCs w:val="28"/>
        </w:rPr>
      </w:pPr>
      <w:r>
        <w:rPr>
          <w:rFonts w:hint="eastAsia" w:ascii="华文仿宋" w:hAnsi="华文仿宋" w:eastAsia="华文仿宋" w:cs="Segoe UI"/>
          <w:kern w:val="0"/>
          <w:sz w:val="28"/>
          <w:szCs w:val="28"/>
        </w:rPr>
        <w:t>1</w:t>
      </w:r>
      <w:r>
        <w:rPr>
          <w:rFonts w:ascii="华文仿宋" w:hAnsi="华文仿宋" w:eastAsia="华文仿宋" w:cs="Segoe UI"/>
          <w:kern w:val="0"/>
          <w:sz w:val="28"/>
          <w:szCs w:val="28"/>
        </w:rPr>
        <w:t xml:space="preserve">. </w:t>
      </w:r>
      <w:r>
        <w:rPr>
          <w:rFonts w:hint="eastAsia" w:ascii="华文仿宋" w:hAnsi="华文仿宋" w:eastAsia="华文仿宋" w:cs="Segoe UI"/>
          <w:kern w:val="0"/>
          <w:sz w:val="28"/>
          <w:szCs w:val="28"/>
        </w:rPr>
        <w:t>学校将于4月1日至5月14日期间组织专家对考生报名材料进行审核，依据申请人学测成绩、中学期间学习情况、社会实践情况、各类获奖情况和其他申请材料择优录取。</w:t>
      </w:r>
    </w:p>
    <w:p>
      <w:pPr>
        <w:pStyle w:val="16"/>
        <w:widowControl/>
        <w:shd w:val="clear" w:color="auto" w:fill="FFFFFF"/>
        <w:spacing w:line="440" w:lineRule="atLeast"/>
        <w:ind w:left="420" w:firstLine="560"/>
        <w:rPr>
          <w:rFonts w:ascii="华文仿宋" w:hAnsi="华文仿宋" w:eastAsia="华文仿宋" w:cs="Segoe UI"/>
          <w:kern w:val="0"/>
          <w:sz w:val="28"/>
          <w:szCs w:val="28"/>
        </w:rPr>
      </w:pPr>
      <w:r>
        <w:rPr>
          <w:rFonts w:hint="eastAsia" w:ascii="华文仿宋" w:hAnsi="华文仿宋" w:eastAsia="华文仿宋" w:cs="Segoe UI"/>
          <w:kern w:val="0"/>
          <w:sz w:val="28"/>
          <w:szCs w:val="28"/>
        </w:rPr>
        <w:t>2</w:t>
      </w:r>
      <w:r>
        <w:rPr>
          <w:rFonts w:ascii="华文仿宋" w:hAnsi="华文仿宋" w:eastAsia="华文仿宋" w:cs="Segoe UI"/>
          <w:kern w:val="0"/>
          <w:sz w:val="28"/>
          <w:szCs w:val="28"/>
        </w:rPr>
        <w:t xml:space="preserve">. </w:t>
      </w:r>
      <w:r>
        <w:rPr>
          <w:rFonts w:hint="eastAsia" w:ascii="华文仿宋" w:hAnsi="华文仿宋" w:eastAsia="华文仿宋" w:cs="Segoe UI"/>
          <w:kern w:val="0"/>
          <w:sz w:val="28"/>
          <w:szCs w:val="28"/>
        </w:rPr>
        <w:t>考生应及时登录系统查看审核结果。系统显示需更正或补充材料的，考生应在规定时间内更正或补充有关材料，提交后及时查看审核结果，逾期提交不再受理。系统显示初审不通过的考生不得参加录取。资格造假的考生按有关规定取消报考资格，已录取的取消录取资格。</w:t>
      </w:r>
    </w:p>
    <w:p>
      <w:pPr>
        <w:pStyle w:val="16"/>
        <w:widowControl/>
        <w:shd w:val="clear" w:color="auto" w:fill="FFFFFF"/>
        <w:spacing w:line="440" w:lineRule="atLeast"/>
        <w:ind w:left="420" w:firstLine="560"/>
        <w:rPr>
          <w:rFonts w:ascii="华文仿宋" w:hAnsi="华文仿宋" w:eastAsia="华文仿宋" w:cs="Segoe UI"/>
          <w:kern w:val="0"/>
          <w:sz w:val="28"/>
          <w:szCs w:val="28"/>
        </w:rPr>
      </w:pPr>
      <w:r>
        <w:rPr>
          <w:rFonts w:hint="eastAsia" w:ascii="华文仿宋" w:hAnsi="华文仿宋" w:eastAsia="华文仿宋" w:cs="Segoe UI"/>
          <w:kern w:val="0"/>
          <w:sz w:val="28"/>
          <w:szCs w:val="28"/>
        </w:rPr>
        <w:t>3</w:t>
      </w:r>
      <w:r>
        <w:rPr>
          <w:rFonts w:ascii="华文仿宋" w:hAnsi="华文仿宋" w:eastAsia="华文仿宋" w:cs="Segoe UI"/>
          <w:kern w:val="0"/>
          <w:sz w:val="28"/>
          <w:szCs w:val="28"/>
        </w:rPr>
        <w:t xml:space="preserve">. </w:t>
      </w:r>
      <w:r>
        <w:rPr>
          <w:rFonts w:hint="eastAsia" w:ascii="华文仿宋" w:hAnsi="华文仿宋" w:eastAsia="华文仿宋" w:cs="Segoe UI"/>
          <w:kern w:val="0"/>
          <w:sz w:val="28"/>
          <w:szCs w:val="28"/>
        </w:rPr>
        <w:t>我校将于5月15日前将拟录取名单上传至系统，系统将于5月15日统一公布拟录取名单。</w:t>
      </w:r>
    </w:p>
    <w:p>
      <w:pPr>
        <w:pStyle w:val="16"/>
        <w:widowControl/>
        <w:shd w:val="clear" w:color="auto" w:fill="FFFFFF"/>
        <w:spacing w:line="440" w:lineRule="atLeast"/>
        <w:ind w:left="420" w:firstLine="560"/>
        <w:rPr>
          <w:rFonts w:ascii="华文仿宋" w:hAnsi="华文仿宋" w:eastAsia="华文仿宋" w:cs="Segoe UI"/>
          <w:kern w:val="0"/>
          <w:sz w:val="28"/>
          <w:szCs w:val="28"/>
        </w:rPr>
      </w:pPr>
      <w:r>
        <w:rPr>
          <w:rFonts w:hint="eastAsia" w:ascii="华文仿宋" w:hAnsi="华文仿宋" w:eastAsia="华文仿宋" w:cs="Segoe UI"/>
          <w:kern w:val="0"/>
          <w:sz w:val="28"/>
          <w:szCs w:val="28"/>
        </w:rPr>
        <w:t>4</w:t>
      </w:r>
      <w:r>
        <w:rPr>
          <w:rFonts w:ascii="华文仿宋" w:hAnsi="华文仿宋" w:eastAsia="华文仿宋" w:cs="Segoe UI"/>
          <w:kern w:val="0"/>
          <w:sz w:val="28"/>
          <w:szCs w:val="28"/>
        </w:rPr>
        <w:t xml:space="preserve">. </w:t>
      </w:r>
      <w:r>
        <w:rPr>
          <w:rFonts w:hint="eastAsia" w:ascii="华文仿宋" w:hAnsi="华文仿宋" w:eastAsia="华文仿宋" w:cs="Segoe UI"/>
          <w:kern w:val="0"/>
          <w:sz w:val="28"/>
          <w:szCs w:val="28"/>
        </w:rPr>
        <w:t>考生须于5月15日至19日期间登录系统查询本人录取情况，进行录取确认。逾期未确认的考生视为放弃录取资格，且不得参加征集志愿报名。考生确认后，我校将安排录取通知书发放工作。</w:t>
      </w:r>
    </w:p>
    <w:p>
      <w:pPr>
        <w:pStyle w:val="16"/>
        <w:widowControl/>
        <w:shd w:val="clear" w:color="auto" w:fill="FFFFFF"/>
        <w:spacing w:line="440" w:lineRule="atLeast"/>
        <w:ind w:left="420" w:firstLine="560"/>
        <w:rPr>
          <w:rFonts w:ascii="华文仿宋" w:hAnsi="华文仿宋" w:eastAsia="华文仿宋" w:cs="Segoe UI"/>
          <w:kern w:val="0"/>
          <w:sz w:val="28"/>
          <w:szCs w:val="28"/>
        </w:rPr>
      </w:pPr>
      <w:r>
        <w:rPr>
          <w:rFonts w:hint="eastAsia" w:ascii="华文仿宋" w:hAnsi="华文仿宋" w:eastAsia="华文仿宋" w:cs="Segoe UI"/>
          <w:kern w:val="0"/>
          <w:sz w:val="28"/>
          <w:szCs w:val="28"/>
        </w:rPr>
        <w:t>5</w:t>
      </w:r>
      <w:r>
        <w:rPr>
          <w:rFonts w:ascii="华文仿宋" w:hAnsi="华文仿宋" w:eastAsia="华文仿宋" w:cs="Segoe UI"/>
          <w:kern w:val="0"/>
          <w:sz w:val="28"/>
          <w:szCs w:val="28"/>
        </w:rPr>
        <w:t xml:space="preserve">. </w:t>
      </w:r>
      <w:r>
        <w:rPr>
          <w:rFonts w:hint="eastAsia" w:ascii="华文仿宋" w:hAnsi="华文仿宋" w:eastAsia="华文仿宋" w:cs="Segoe UI"/>
          <w:kern w:val="0"/>
          <w:sz w:val="28"/>
          <w:szCs w:val="28"/>
        </w:rPr>
        <w:t>如我校招生计划未能一次完成，将按照教育部有关要求通过征集志愿方式进行补录。</w:t>
      </w:r>
    </w:p>
    <w:p>
      <w:pPr>
        <w:pStyle w:val="16"/>
        <w:widowControl/>
        <w:shd w:val="clear" w:color="auto" w:fill="FFFFFF"/>
        <w:spacing w:line="440" w:lineRule="atLeast"/>
        <w:ind w:left="420" w:firstLine="560"/>
        <w:rPr>
          <w:rFonts w:ascii="华文仿宋" w:hAnsi="华文仿宋" w:eastAsia="华文仿宋" w:cs="Segoe UI"/>
          <w:kern w:val="0"/>
          <w:sz w:val="28"/>
          <w:szCs w:val="28"/>
        </w:rPr>
      </w:pPr>
      <w:r>
        <w:rPr>
          <w:rFonts w:hint="eastAsia" w:ascii="华文仿宋" w:hAnsi="华文仿宋" w:eastAsia="华文仿宋" w:cs="Segoe UI"/>
          <w:kern w:val="0"/>
          <w:sz w:val="28"/>
          <w:szCs w:val="28"/>
        </w:rPr>
        <w:t>6</w:t>
      </w:r>
      <w:r>
        <w:rPr>
          <w:rFonts w:ascii="华文仿宋" w:hAnsi="华文仿宋" w:eastAsia="华文仿宋" w:cs="Segoe UI"/>
          <w:kern w:val="0"/>
          <w:sz w:val="28"/>
          <w:szCs w:val="28"/>
        </w:rPr>
        <w:t xml:space="preserve">. </w:t>
      </w:r>
      <w:r>
        <w:rPr>
          <w:rFonts w:hint="eastAsia" w:ascii="华文仿宋" w:hAnsi="华文仿宋" w:eastAsia="华文仿宋" w:cs="Segoe UI"/>
          <w:kern w:val="0"/>
          <w:sz w:val="28"/>
          <w:szCs w:val="28"/>
        </w:rPr>
        <w:t>录取为艺体类专业的考生入学后原则上不得转入普通类专业学习。</w:t>
      </w:r>
    </w:p>
    <w:p>
      <w:pPr>
        <w:pStyle w:val="16"/>
        <w:widowControl/>
        <w:numPr>
          <w:ilvl w:val="0"/>
          <w:numId w:val="1"/>
        </w:numPr>
        <w:shd w:val="clear" w:color="auto" w:fill="FFFFFF"/>
        <w:spacing w:line="440" w:lineRule="atLeast"/>
        <w:ind w:firstLineChars="0"/>
        <w:rPr>
          <w:rFonts w:ascii="华文仿宋" w:hAnsi="华文仿宋" w:eastAsia="华文仿宋" w:cs="Segoe UI"/>
          <w:kern w:val="0"/>
          <w:sz w:val="28"/>
          <w:szCs w:val="28"/>
        </w:rPr>
      </w:pPr>
      <w:r>
        <w:rPr>
          <w:rFonts w:ascii="华文仿宋" w:hAnsi="华文仿宋" w:eastAsia="华文仿宋" w:cs="Segoe UI"/>
          <w:kern w:val="0"/>
          <w:sz w:val="28"/>
          <w:szCs w:val="28"/>
        </w:rPr>
        <w:t>入学及学生管理</w:t>
      </w:r>
    </w:p>
    <w:p>
      <w:pPr>
        <w:pStyle w:val="16"/>
        <w:widowControl/>
        <w:shd w:val="clear" w:color="auto" w:fill="FFFFFF"/>
        <w:spacing w:line="440" w:lineRule="atLeast"/>
        <w:ind w:left="420" w:firstLine="560"/>
        <w:rPr>
          <w:rFonts w:ascii="华文仿宋" w:hAnsi="华文仿宋" w:eastAsia="华文仿宋" w:cs="Segoe UI"/>
          <w:kern w:val="0"/>
          <w:sz w:val="28"/>
          <w:szCs w:val="28"/>
        </w:rPr>
      </w:pPr>
      <w:r>
        <w:rPr>
          <w:rFonts w:hint="eastAsia" w:ascii="华文仿宋" w:hAnsi="华文仿宋" w:eastAsia="华文仿宋" w:cs="Segoe UI"/>
          <w:kern w:val="0"/>
          <w:sz w:val="28"/>
          <w:szCs w:val="28"/>
        </w:rPr>
        <w:t>1</w:t>
      </w:r>
      <w:r>
        <w:rPr>
          <w:rFonts w:ascii="华文仿宋" w:hAnsi="华文仿宋" w:eastAsia="华文仿宋" w:cs="Segoe UI"/>
          <w:kern w:val="0"/>
          <w:sz w:val="28"/>
          <w:szCs w:val="28"/>
        </w:rPr>
        <w:t xml:space="preserve">. </w:t>
      </w:r>
      <w:r>
        <w:rPr>
          <w:rFonts w:hint="eastAsia" w:ascii="华文仿宋" w:hAnsi="华文仿宋" w:eastAsia="华文仿宋" w:cs="Segoe UI"/>
          <w:kern w:val="0"/>
          <w:sz w:val="28"/>
          <w:szCs w:val="28"/>
        </w:rPr>
        <w:t>入学报到：新生持《录取通知书》和上述申请材料原件来校报到，报到时间以《录取通知书》上规定的时间为准。因故不能按期入学者，应在规定期限内向录取院系请假，请假时间不得超过两周。未请假或请假逾期者，除不可抗力等正当事由外，视为放弃入学资格。</w:t>
      </w:r>
    </w:p>
    <w:p>
      <w:pPr>
        <w:pStyle w:val="16"/>
        <w:widowControl/>
        <w:shd w:val="clear" w:color="auto" w:fill="FFFFFF"/>
        <w:spacing w:line="440" w:lineRule="atLeast"/>
        <w:ind w:left="420" w:firstLine="560"/>
        <w:rPr>
          <w:rFonts w:ascii="华文仿宋" w:hAnsi="华文仿宋" w:eastAsia="华文仿宋" w:cs="Segoe UI"/>
          <w:kern w:val="0"/>
          <w:sz w:val="28"/>
          <w:szCs w:val="28"/>
        </w:rPr>
      </w:pPr>
      <w:r>
        <w:rPr>
          <w:rFonts w:hint="eastAsia" w:ascii="华文仿宋" w:hAnsi="华文仿宋" w:eastAsia="华文仿宋" w:cs="Segoe UI"/>
          <w:kern w:val="0"/>
          <w:sz w:val="28"/>
          <w:szCs w:val="28"/>
        </w:rPr>
        <w:t>2.</w:t>
      </w:r>
      <w:r>
        <w:rPr>
          <w:rFonts w:ascii="华文仿宋" w:hAnsi="华文仿宋" w:eastAsia="华文仿宋" w:cs="Segoe UI"/>
          <w:kern w:val="0"/>
          <w:sz w:val="28"/>
          <w:szCs w:val="28"/>
        </w:rPr>
        <w:t xml:space="preserve"> </w:t>
      </w:r>
      <w:r>
        <w:rPr>
          <w:rFonts w:hint="eastAsia" w:ascii="华文仿宋" w:hAnsi="华文仿宋" w:eastAsia="华文仿宋" w:cs="Segoe UI"/>
          <w:kern w:val="0"/>
          <w:sz w:val="28"/>
          <w:szCs w:val="28"/>
        </w:rPr>
        <w:t>新生入校后，我校将核查其入学资格。凡不符合录取条件或弄虚作假者，我校将取消其入学资格。同时，学校将对全体新生进行身体检查，依据《普通高等学校招生体检工作指导意见》的相关要求，对不符合入学体检要求者，取消入学资格；仅专业受限者，可以商转其它专业。</w:t>
      </w:r>
    </w:p>
    <w:p>
      <w:pPr>
        <w:pStyle w:val="16"/>
        <w:widowControl/>
        <w:shd w:val="clear" w:color="auto" w:fill="FFFFFF"/>
        <w:spacing w:line="440" w:lineRule="atLeast"/>
        <w:ind w:left="420" w:firstLine="560"/>
        <w:rPr>
          <w:rFonts w:ascii="华文仿宋" w:hAnsi="华文仿宋" w:eastAsia="华文仿宋" w:cs="Segoe UI"/>
          <w:kern w:val="0"/>
          <w:sz w:val="28"/>
          <w:szCs w:val="28"/>
        </w:rPr>
      </w:pPr>
      <w:r>
        <w:rPr>
          <w:rFonts w:hint="eastAsia" w:ascii="华文仿宋" w:hAnsi="华文仿宋" w:eastAsia="华文仿宋" w:cs="Segoe UI"/>
          <w:kern w:val="0"/>
          <w:sz w:val="28"/>
          <w:szCs w:val="28"/>
        </w:rPr>
        <w:t>3.</w:t>
      </w:r>
      <w:r>
        <w:rPr>
          <w:rFonts w:ascii="华文仿宋" w:hAnsi="华文仿宋" w:eastAsia="华文仿宋" w:cs="Segoe UI"/>
          <w:kern w:val="0"/>
          <w:sz w:val="28"/>
          <w:szCs w:val="28"/>
        </w:rPr>
        <w:t xml:space="preserve"> </w:t>
      </w:r>
      <w:r>
        <w:rPr>
          <w:rFonts w:hint="eastAsia" w:ascii="华文仿宋" w:hAnsi="华文仿宋" w:eastAsia="华文仿宋" w:cs="Segoe UI"/>
          <w:kern w:val="0"/>
          <w:sz w:val="28"/>
          <w:szCs w:val="28"/>
        </w:rPr>
        <w:t>在校管理：按照《普通高等学校招收和培养香港特别行政区、澳门特别行政区及台湾地区学生的规定》（教港澳台[</w:t>
      </w:r>
      <w:r>
        <w:rPr>
          <w:rFonts w:ascii="华文仿宋" w:hAnsi="华文仿宋" w:eastAsia="华文仿宋" w:cs="Segoe UI"/>
          <w:kern w:val="0"/>
          <w:sz w:val="28"/>
          <w:szCs w:val="28"/>
        </w:rPr>
        <w:t>2016]96号</w:t>
      </w:r>
      <w:r>
        <w:rPr>
          <w:rFonts w:hint="eastAsia" w:ascii="华文仿宋" w:hAnsi="华文仿宋" w:eastAsia="华文仿宋" w:cs="Segoe UI"/>
          <w:kern w:val="0"/>
          <w:sz w:val="28"/>
          <w:szCs w:val="28"/>
        </w:rPr>
        <w:t>）及我校相关规定管理。</w:t>
      </w:r>
    </w:p>
    <w:p>
      <w:pPr>
        <w:pStyle w:val="16"/>
        <w:widowControl/>
        <w:shd w:val="clear" w:color="auto" w:fill="FFFFFF"/>
        <w:spacing w:line="440" w:lineRule="atLeast"/>
        <w:ind w:left="420" w:firstLine="560"/>
        <w:rPr>
          <w:rFonts w:ascii="华文仿宋" w:hAnsi="华文仿宋" w:eastAsia="华文仿宋" w:cs="Segoe UI"/>
          <w:kern w:val="0"/>
          <w:sz w:val="28"/>
          <w:szCs w:val="28"/>
        </w:rPr>
      </w:pPr>
      <w:r>
        <w:rPr>
          <w:rFonts w:hint="eastAsia" w:ascii="华文仿宋" w:hAnsi="华文仿宋" w:eastAsia="华文仿宋" w:cs="Segoe UI"/>
          <w:kern w:val="0"/>
          <w:sz w:val="28"/>
          <w:szCs w:val="28"/>
        </w:rPr>
        <w:t>4</w:t>
      </w:r>
      <w:r>
        <w:rPr>
          <w:rFonts w:ascii="华文仿宋" w:hAnsi="华文仿宋" w:eastAsia="华文仿宋" w:cs="Segoe UI"/>
          <w:kern w:val="0"/>
          <w:sz w:val="28"/>
          <w:szCs w:val="28"/>
        </w:rPr>
        <w:t xml:space="preserve">. </w:t>
      </w:r>
      <w:r>
        <w:rPr>
          <w:rFonts w:hint="eastAsia" w:ascii="华文仿宋" w:hAnsi="华文仿宋" w:eastAsia="华文仿宋" w:cs="Segoe UI"/>
          <w:kern w:val="0"/>
          <w:sz w:val="28"/>
          <w:szCs w:val="28"/>
        </w:rPr>
        <w:t>学生入校后可申请校内相关奖学金、港澳台侨学生奖学金等。</w:t>
      </w:r>
    </w:p>
    <w:p>
      <w:pPr>
        <w:pStyle w:val="16"/>
        <w:widowControl/>
        <w:numPr>
          <w:ilvl w:val="0"/>
          <w:numId w:val="1"/>
        </w:numPr>
        <w:shd w:val="clear" w:color="auto" w:fill="FFFFFF"/>
        <w:spacing w:line="440" w:lineRule="atLeast"/>
        <w:ind w:firstLineChars="0"/>
        <w:rPr>
          <w:rFonts w:ascii="华文仿宋" w:hAnsi="华文仿宋" w:eastAsia="华文仿宋" w:cs="Segoe UI"/>
          <w:kern w:val="0"/>
          <w:sz w:val="28"/>
          <w:szCs w:val="28"/>
        </w:rPr>
      </w:pPr>
      <w:r>
        <w:rPr>
          <w:rFonts w:hint="eastAsia" w:ascii="华文仿宋" w:hAnsi="华文仿宋" w:eastAsia="华文仿宋" w:cs="Segoe UI"/>
          <w:kern w:val="0"/>
          <w:sz w:val="28"/>
          <w:szCs w:val="28"/>
        </w:rPr>
        <w:t>学费、住宿费及生活费</w:t>
      </w:r>
    </w:p>
    <w:p>
      <w:pPr>
        <w:pStyle w:val="16"/>
        <w:widowControl/>
        <w:shd w:val="clear" w:color="auto" w:fill="FFFFFF"/>
        <w:spacing w:line="440" w:lineRule="atLeast"/>
        <w:ind w:left="420" w:firstLine="560"/>
        <w:rPr>
          <w:rFonts w:ascii="华文仿宋" w:hAnsi="华文仿宋" w:eastAsia="华文仿宋" w:cs="Segoe UI"/>
          <w:kern w:val="0"/>
          <w:sz w:val="28"/>
          <w:szCs w:val="28"/>
        </w:rPr>
      </w:pPr>
      <w:r>
        <w:rPr>
          <w:rFonts w:hint="eastAsia" w:ascii="华文仿宋" w:hAnsi="华文仿宋" w:eastAsia="华文仿宋" w:cs="Segoe UI"/>
          <w:kern w:val="0"/>
          <w:sz w:val="28"/>
          <w:szCs w:val="28"/>
        </w:rPr>
        <w:t>被录取的台湾地区学生学费与内地（祖国大陆）学生相同，学费收取标准按202</w:t>
      </w:r>
      <w:r>
        <w:rPr>
          <w:rFonts w:ascii="华文仿宋" w:hAnsi="华文仿宋" w:eastAsia="华文仿宋" w:cs="Segoe UI"/>
          <w:kern w:val="0"/>
          <w:sz w:val="28"/>
          <w:szCs w:val="28"/>
        </w:rPr>
        <w:t>3</w:t>
      </w:r>
      <w:r>
        <w:rPr>
          <w:rFonts w:hint="eastAsia" w:ascii="华文仿宋" w:hAnsi="华文仿宋" w:eastAsia="华文仿宋" w:cs="Segoe UI"/>
          <w:kern w:val="0"/>
          <w:sz w:val="28"/>
          <w:szCs w:val="28"/>
        </w:rPr>
        <w:t>年湖北省物价局核定的标准执行。</w:t>
      </w:r>
    </w:p>
    <w:p>
      <w:pPr>
        <w:pStyle w:val="16"/>
        <w:widowControl/>
        <w:shd w:val="clear" w:color="auto" w:fill="FFFFFF"/>
        <w:spacing w:line="440" w:lineRule="atLeast"/>
        <w:ind w:left="420" w:firstLine="555" w:firstLineChars="0"/>
        <w:rPr>
          <w:rFonts w:ascii="华文仿宋" w:hAnsi="华文仿宋" w:eastAsia="华文仿宋" w:cs="Segoe UI"/>
          <w:kern w:val="0"/>
          <w:sz w:val="28"/>
          <w:szCs w:val="28"/>
        </w:rPr>
      </w:pPr>
      <w:r>
        <w:rPr>
          <w:rFonts w:hint="eastAsia" w:ascii="华文仿宋" w:hAnsi="华文仿宋" w:eastAsia="华文仿宋" w:cs="Segoe UI"/>
          <w:kern w:val="0"/>
          <w:sz w:val="28"/>
          <w:szCs w:val="28"/>
        </w:rPr>
        <w:t>住宿一般安排与内地（祖国大陆）学生同住，收费标准与内地（祖国大陆）学生相同。</w:t>
      </w:r>
    </w:p>
    <w:p>
      <w:pPr>
        <w:pStyle w:val="16"/>
        <w:widowControl/>
        <w:shd w:val="clear" w:color="auto" w:fill="FFFFFF"/>
        <w:spacing w:line="440" w:lineRule="atLeast"/>
        <w:ind w:left="420" w:firstLine="555" w:firstLineChars="0"/>
        <w:rPr>
          <w:rFonts w:ascii="华文仿宋" w:hAnsi="华文仿宋" w:eastAsia="华文仿宋" w:cs="Segoe UI"/>
          <w:kern w:val="0"/>
          <w:sz w:val="28"/>
          <w:szCs w:val="28"/>
        </w:rPr>
      </w:pPr>
      <w:r>
        <w:rPr>
          <w:rFonts w:hint="eastAsia" w:ascii="华文仿宋" w:hAnsi="华文仿宋" w:eastAsia="华文仿宋" w:cs="Segoe UI"/>
          <w:kern w:val="0"/>
          <w:sz w:val="28"/>
          <w:szCs w:val="28"/>
        </w:rPr>
        <w:t>结合当地物价水平，生活费约人民币1,000～1,500元/月/人。</w:t>
      </w:r>
    </w:p>
    <w:p>
      <w:pPr>
        <w:pStyle w:val="16"/>
        <w:widowControl/>
        <w:numPr>
          <w:ilvl w:val="0"/>
          <w:numId w:val="1"/>
        </w:numPr>
        <w:shd w:val="clear" w:color="auto" w:fill="FFFFFF"/>
        <w:spacing w:line="440" w:lineRule="atLeast"/>
        <w:ind w:firstLineChars="0"/>
        <w:rPr>
          <w:rFonts w:ascii="华文仿宋" w:hAnsi="华文仿宋" w:eastAsia="华文仿宋" w:cs="Segoe UI"/>
          <w:kern w:val="0"/>
          <w:sz w:val="28"/>
          <w:szCs w:val="28"/>
        </w:rPr>
      </w:pPr>
      <w:r>
        <w:rPr>
          <w:rFonts w:ascii="华文仿宋" w:hAnsi="华文仿宋" w:eastAsia="华文仿宋" w:cs="Segoe UI"/>
          <w:kern w:val="0"/>
          <w:sz w:val="28"/>
          <w:szCs w:val="28"/>
        </w:rPr>
        <w:t>颁发证书</w:t>
      </w:r>
    </w:p>
    <w:p>
      <w:pPr>
        <w:pStyle w:val="16"/>
        <w:widowControl/>
        <w:shd w:val="clear" w:color="auto" w:fill="FFFFFF"/>
        <w:spacing w:line="440" w:lineRule="atLeast"/>
        <w:ind w:left="420" w:firstLine="560"/>
        <w:rPr>
          <w:rFonts w:ascii="华文仿宋" w:hAnsi="华文仿宋" w:eastAsia="华文仿宋" w:cs="Segoe UI"/>
          <w:kern w:val="0"/>
          <w:sz w:val="28"/>
          <w:szCs w:val="28"/>
        </w:rPr>
      </w:pPr>
      <w:r>
        <w:rPr>
          <w:rFonts w:hint="eastAsia" w:ascii="华文仿宋" w:hAnsi="华文仿宋" w:eastAsia="华文仿宋" w:cs="Segoe UI"/>
          <w:kern w:val="0"/>
          <w:sz w:val="28"/>
          <w:szCs w:val="28"/>
        </w:rPr>
        <w:t>在规定的年限内达到所在专业毕业要求者，颁发三峡大学本科毕业证书，并授予相应专业学位证书。</w:t>
      </w:r>
    </w:p>
    <w:p>
      <w:pPr>
        <w:pStyle w:val="16"/>
        <w:widowControl/>
        <w:numPr>
          <w:ilvl w:val="0"/>
          <w:numId w:val="1"/>
        </w:numPr>
        <w:shd w:val="clear" w:color="auto" w:fill="FFFFFF"/>
        <w:spacing w:line="440" w:lineRule="atLeast"/>
        <w:ind w:firstLineChars="0"/>
        <w:rPr>
          <w:rFonts w:ascii="华文仿宋" w:hAnsi="华文仿宋" w:eastAsia="华文仿宋" w:cs="Segoe UI"/>
          <w:kern w:val="0"/>
          <w:sz w:val="28"/>
          <w:szCs w:val="28"/>
        </w:rPr>
      </w:pPr>
      <w:r>
        <w:rPr>
          <w:rFonts w:ascii="华文仿宋" w:hAnsi="华文仿宋" w:eastAsia="华文仿宋" w:cs="Segoe UI"/>
          <w:kern w:val="0"/>
          <w:sz w:val="28"/>
          <w:szCs w:val="28"/>
        </w:rPr>
        <w:t>监督机制</w:t>
      </w:r>
    </w:p>
    <w:p>
      <w:pPr>
        <w:pStyle w:val="16"/>
        <w:widowControl/>
        <w:shd w:val="clear" w:color="auto" w:fill="FFFFFF"/>
        <w:spacing w:line="440" w:lineRule="atLeast"/>
        <w:ind w:left="420" w:firstLine="560"/>
        <w:rPr>
          <w:rFonts w:ascii="华文仿宋" w:hAnsi="华文仿宋" w:eastAsia="华文仿宋" w:cs="Segoe UI"/>
          <w:kern w:val="0"/>
          <w:sz w:val="28"/>
          <w:szCs w:val="28"/>
        </w:rPr>
      </w:pPr>
      <w:r>
        <w:rPr>
          <w:rFonts w:hint="eastAsia" w:ascii="华文仿宋" w:hAnsi="华文仿宋" w:eastAsia="华文仿宋" w:cs="Segoe UI"/>
          <w:kern w:val="0"/>
          <w:sz w:val="28"/>
          <w:szCs w:val="28"/>
        </w:rPr>
        <w:t>我校依据学测成绩招收台湾高中毕业生工作遵循公开、公平、公正的原则，由学校监察部门全程参与和监督。纪检监察部门电话：+86-717-639</w:t>
      </w:r>
      <w:r>
        <w:rPr>
          <w:rFonts w:ascii="华文仿宋" w:hAnsi="华文仿宋" w:eastAsia="华文仿宋" w:cs="Segoe UI"/>
          <w:kern w:val="0"/>
          <w:sz w:val="28"/>
          <w:szCs w:val="28"/>
        </w:rPr>
        <w:t>3833。另外，</w:t>
      </w:r>
      <w:r>
        <w:rPr>
          <w:rFonts w:hint="eastAsia" w:ascii="华文仿宋" w:hAnsi="华文仿宋" w:eastAsia="华文仿宋" w:cs="Segoe UI"/>
          <w:kern w:val="0"/>
          <w:sz w:val="28"/>
          <w:szCs w:val="28"/>
        </w:rPr>
        <w:t>学校不委托中介组织和个人从事招生活动，考生及家长谨防受骗。</w:t>
      </w:r>
    </w:p>
    <w:p>
      <w:pPr>
        <w:pStyle w:val="16"/>
        <w:widowControl/>
        <w:numPr>
          <w:ilvl w:val="0"/>
          <w:numId w:val="1"/>
        </w:numPr>
        <w:shd w:val="clear" w:color="auto" w:fill="FFFFFF"/>
        <w:spacing w:line="440" w:lineRule="atLeast"/>
        <w:ind w:firstLineChars="0"/>
        <w:rPr>
          <w:rFonts w:ascii="华文仿宋" w:hAnsi="华文仿宋" w:eastAsia="华文仿宋" w:cs="Segoe UI"/>
          <w:kern w:val="0"/>
          <w:sz w:val="28"/>
          <w:szCs w:val="28"/>
        </w:rPr>
      </w:pPr>
      <w:r>
        <w:rPr>
          <w:rFonts w:ascii="华文仿宋" w:hAnsi="华文仿宋" w:eastAsia="华文仿宋" w:cs="Segoe UI"/>
          <w:kern w:val="0"/>
          <w:sz w:val="28"/>
          <w:szCs w:val="28"/>
        </w:rPr>
        <w:t>联系方式：</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三峡大学港澳台事务工作办公室</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通信地址：湖北省宜昌市大学路8号</w:t>
      </w:r>
    </w:p>
    <w:p>
      <w:pPr>
        <w:widowControl/>
        <w:shd w:val="clear" w:color="auto" w:fill="FFFFFF"/>
        <w:spacing w:line="440" w:lineRule="atLeast"/>
        <w:ind w:firstLine="561"/>
        <w:rPr>
          <w:rFonts w:ascii="华文仿宋" w:hAnsi="华文仿宋" w:eastAsia="华文仿宋" w:cs="Segoe UI"/>
          <w:kern w:val="0"/>
          <w:sz w:val="28"/>
          <w:szCs w:val="28"/>
        </w:rPr>
      </w:pPr>
      <w:r>
        <w:rPr>
          <w:rFonts w:ascii="华文仿宋" w:hAnsi="华文仿宋" w:eastAsia="华文仿宋" w:cs="Segoe UI"/>
          <w:kern w:val="0"/>
          <w:sz w:val="28"/>
          <w:szCs w:val="28"/>
        </w:rPr>
        <w:t>电话：</w:t>
      </w:r>
      <w:r>
        <w:rPr>
          <w:rFonts w:hint="eastAsia" w:ascii="华文仿宋" w:hAnsi="华文仿宋" w:eastAsia="华文仿宋" w:cs="Segoe UI"/>
          <w:kern w:val="0"/>
          <w:sz w:val="28"/>
          <w:szCs w:val="28"/>
        </w:rPr>
        <w:t>+86-717-63920</w:t>
      </w:r>
      <w:r>
        <w:rPr>
          <w:rFonts w:ascii="华文仿宋" w:hAnsi="华文仿宋" w:eastAsia="华文仿宋" w:cs="Segoe UI"/>
          <w:kern w:val="0"/>
          <w:sz w:val="28"/>
          <w:szCs w:val="28"/>
        </w:rPr>
        <w:t>97</w:t>
      </w:r>
      <w:r>
        <w:rPr>
          <w:rFonts w:hint="eastAsia" w:ascii="华文仿宋" w:hAnsi="华文仿宋" w:eastAsia="华文仿宋" w:cs="Segoe UI"/>
          <w:kern w:val="0"/>
          <w:sz w:val="28"/>
          <w:szCs w:val="28"/>
        </w:rPr>
        <w:t>、63920</w:t>
      </w:r>
      <w:r>
        <w:rPr>
          <w:rFonts w:ascii="华文仿宋" w:hAnsi="华文仿宋" w:eastAsia="华文仿宋" w:cs="Segoe UI"/>
          <w:kern w:val="0"/>
          <w:sz w:val="28"/>
          <w:szCs w:val="28"/>
        </w:rPr>
        <w:t>33</w:t>
      </w:r>
    </w:p>
    <w:p>
      <w:pPr>
        <w:widowControl/>
        <w:shd w:val="clear" w:color="auto" w:fill="FFFFFF"/>
        <w:spacing w:line="440" w:lineRule="atLeast"/>
        <w:ind w:firstLine="561"/>
        <w:rPr>
          <w:rFonts w:ascii="华文仿宋" w:hAnsi="华文仿宋" w:eastAsia="华文仿宋" w:cs="Segoe UI"/>
          <w:kern w:val="0"/>
          <w:sz w:val="28"/>
          <w:szCs w:val="28"/>
        </w:rPr>
      </w:pPr>
      <w:r>
        <w:rPr>
          <w:rFonts w:hint="eastAsia" w:ascii="华文仿宋" w:hAnsi="华文仿宋" w:eastAsia="华文仿宋" w:cs="Segoe UI"/>
          <w:kern w:val="0"/>
          <w:sz w:val="28"/>
          <w:szCs w:val="28"/>
        </w:rPr>
        <w:t>三峡大学</w:t>
      </w:r>
      <w:r>
        <w:rPr>
          <w:rFonts w:ascii="华文仿宋" w:hAnsi="华文仿宋" w:eastAsia="华文仿宋" w:cs="Segoe UI"/>
          <w:kern w:val="0"/>
          <w:sz w:val="28"/>
          <w:szCs w:val="28"/>
        </w:rPr>
        <w:t>网址：</w:t>
      </w:r>
      <w:r>
        <w:rPr>
          <w:rFonts w:hint="eastAsia" w:ascii="华文仿宋" w:hAnsi="华文仿宋" w:eastAsia="华文仿宋" w:cs="Segoe UI"/>
          <w:kern w:val="0"/>
          <w:sz w:val="28"/>
          <w:szCs w:val="28"/>
        </w:rPr>
        <w:t>w</w:t>
      </w:r>
      <w:r>
        <w:rPr>
          <w:rFonts w:ascii="华文仿宋" w:hAnsi="华文仿宋" w:eastAsia="华文仿宋" w:cs="Segoe UI"/>
          <w:kern w:val="0"/>
          <w:sz w:val="28"/>
          <w:szCs w:val="28"/>
        </w:rPr>
        <w:t>ww. ctgu.edu.cn</w:t>
      </w:r>
    </w:p>
    <w:p>
      <w:pPr>
        <w:widowControl/>
        <w:shd w:val="clear" w:color="auto" w:fill="FFFFFF"/>
        <w:spacing w:line="440" w:lineRule="atLeast"/>
        <w:ind w:firstLine="561"/>
        <w:rPr>
          <w:rFonts w:ascii="华文仿宋" w:hAnsi="华文仿宋" w:eastAsia="华文仿宋" w:cs="Segoe UI"/>
          <w:kern w:val="0"/>
          <w:sz w:val="28"/>
          <w:szCs w:val="28"/>
        </w:rPr>
      </w:pPr>
      <w:r>
        <w:rPr>
          <w:rFonts w:ascii="华文仿宋" w:hAnsi="华文仿宋" w:eastAsia="华文仿宋" w:cs="Segoe UI"/>
          <w:kern w:val="0"/>
          <w:sz w:val="28"/>
          <w:szCs w:val="28"/>
        </w:rPr>
        <w:t>三峡大学本科招生网：https://zs.ctgu.edu.cn/ctgu</w:t>
      </w:r>
    </w:p>
    <w:p>
      <w:pPr>
        <w:widowControl/>
        <w:shd w:val="clear" w:color="auto" w:fill="FFFFFF"/>
        <w:spacing w:line="440" w:lineRule="atLeast"/>
        <w:ind w:firstLine="561"/>
        <w:rPr>
          <w:rFonts w:ascii="华文仿宋" w:hAnsi="华文仿宋" w:eastAsia="华文仿宋" w:cs="Segoe UI"/>
          <w:kern w:val="0"/>
          <w:sz w:val="28"/>
          <w:szCs w:val="28"/>
        </w:rPr>
      </w:pPr>
      <w:r>
        <w:rPr>
          <w:rFonts w:ascii="华文仿宋" w:hAnsi="华文仿宋" w:eastAsia="华文仿宋" w:cs="Segoe UI"/>
          <w:kern w:val="0"/>
          <w:sz w:val="28"/>
          <w:szCs w:val="28"/>
        </w:rPr>
        <w:t>三峡大学港澳台事务工作办公室：https://dir.ctgu.edu.cn/index.htm</w:t>
      </w:r>
    </w:p>
    <w:p>
      <w:pPr>
        <w:widowControl/>
        <w:shd w:val="clear" w:color="auto" w:fill="FFFFFF"/>
        <w:spacing w:line="440" w:lineRule="atLeast"/>
        <w:ind w:firstLine="561"/>
        <w:rPr>
          <w:rFonts w:ascii="华文仿宋" w:hAnsi="华文仿宋" w:eastAsia="华文仿宋" w:cs="Segoe UI"/>
          <w:kern w:val="0"/>
          <w:sz w:val="28"/>
          <w:szCs w:val="28"/>
        </w:rPr>
      </w:pPr>
    </w:p>
    <w:p>
      <w:pPr>
        <w:widowControl/>
        <w:shd w:val="clear" w:color="auto" w:fill="FFFFFF"/>
        <w:spacing w:line="440" w:lineRule="atLeast"/>
        <w:ind w:firstLine="561"/>
        <w:jc w:val="right"/>
        <w:rPr>
          <w:rFonts w:ascii="华文仿宋" w:hAnsi="华文仿宋" w:eastAsia="华文仿宋" w:cs="Segoe UI"/>
          <w:kern w:val="0"/>
          <w:sz w:val="28"/>
          <w:szCs w:val="28"/>
        </w:rPr>
      </w:pPr>
      <w:r>
        <w:rPr>
          <w:rFonts w:hint="eastAsia" w:ascii="华文仿宋" w:hAnsi="华文仿宋" w:eastAsia="华文仿宋" w:cs="Segoe UI"/>
          <w:kern w:val="0"/>
          <w:sz w:val="28"/>
          <w:szCs w:val="28"/>
        </w:rPr>
        <w:t>三峡大学港澳台事务工作办公室</w:t>
      </w:r>
    </w:p>
    <w:p>
      <w:pPr>
        <w:widowControl/>
        <w:shd w:val="clear" w:color="auto" w:fill="FFFFFF"/>
        <w:spacing w:line="440" w:lineRule="atLeast"/>
        <w:ind w:firstLine="561"/>
        <w:jc w:val="right"/>
        <w:rPr>
          <w:rFonts w:hint="eastAsia" w:ascii="华文仿宋" w:hAnsi="华文仿宋" w:eastAsia="华文仿宋" w:cs="Segoe UI"/>
          <w:kern w:val="0"/>
          <w:sz w:val="28"/>
          <w:szCs w:val="28"/>
        </w:rPr>
      </w:pPr>
      <w:r>
        <w:rPr>
          <w:rFonts w:hint="eastAsia" w:ascii="华文仿宋" w:hAnsi="华文仿宋" w:eastAsia="华文仿宋" w:cs="Segoe UI"/>
          <w:kern w:val="0"/>
          <w:sz w:val="28"/>
          <w:szCs w:val="28"/>
        </w:rPr>
        <w:t>202</w:t>
      </w:r>
      <w:r>
        <w:rPr>
          <w:rFonts w:ascii="华文仿宋" w:hAnsi="华文仿宋" w:eastAsia="华文仿宋" w:cs="Segoe UI"/>
          <w:kern w:val="0"/>
          <w:sz w:val="28"/>
          <w:szCs w:val="28"/>
        </w:rPr>
        <w:t>3</w:t>
      </w:r>
      <w:r>
        <w:rPr>
          <w:rFonts w:hint="eastAsia" w:ascii="华文仿宋" w:hAnsi="华文仿宋" w:eastAsia="华文仿宋" w:cs="Segoe UI"/>
          <w:kern w:val="0"/>
          <w:sz w:val="28"/>
          <w:szCs w:val="28"/>
        </w:rPr>
        <w:t>年</w:t>
      </w:r>
      <w:r>
        <w:rPr>
          <w:rFonts w:ascii="华文仿宋" w:hAnsi="华文仿宋" w:eastAsia="华文仿宋" w:cs="Segoe UI"/>
          <w:kern w:val="0"/>
          <w:sz w:val="28"/>
          <w:szCs w:val="28"/>
        </w:rPr>
        <w:t>1</w:t>
      </w:r>
      <w:r>
        <w:rPr>
          <w:rFonts w:hint="eastAsia" w:ascii="华文仿宋" w:hAnsi="华文仿宋" w:eastAsia="华文仿宋" w:cs="Segoe UI"/>
          <w:kern w:val="0"/>
          <w:sz w:val="28"/>
          <w:szCs w:val="28"/>
        </w:rPr>
        <w:t>月1</w:t>
      </w:r>
      <w:r>
        <w:rPr>
          <w:rFonts w:ascii="华文仿宋" w:hAnsi="华文仿宋" w:eastAsia="华文仿宋" w:cs="Segoe UI"/>
          <w:kern w:val="0"/>
          <w:sz w:val="28"/>
          <w:szCs w:val="28"/>
        </w:rPr>
        <w:t>0</w:t>
      </w:r>
      <w:r>
        <w:rPr>
          <w:rFonts w:hint="eastAsia" w:ascii="华文仿宋" w:hAnsi="华文仿宋" w:eastAsia="华文仿宋" w:cs="Segoe UI"/>
          <w:kern w:val="0"/>
          <w:sz w:val="28"/>
          <w:szCs w:val="28"/>
        </w:rPr>
        <w:t>日</w:t>
      </w:r>
    </w:p>
    <w:p>
      <w:pPr>
        <w:widowControl/>
        <w:shd w:val="clear" w:color="auto" w:fill="FFFFFF"/>
        <w:spacing w:line="440" w:lineRule="atLeast"/>
        <w:ind w:firstLine="561"/>
        <w:jc w:val="right"/>
        <w:rPr>
          <w:rFonts w:hint="eastAsia" w:ascii="华文仿宋" w:hAnsi="华文仿宋" w:eastAsia="华文仿宋" w:cs="Segoe UI"/>
          <w:kern w:val="0"/>
          <w:sz w:val="28"/>
          <w:szCs w:val="28"/>
          <w:lang w:val="en-US" w:eastAsia="zh-CN"/>
        </w:rPr>
      </w:pPr>
      <w:r>
        <w:rPr>
          <w:rFonts w:hint="eastAsia" w:ascii="华文仿宋" w:hAnsi="华文仿宋" w:eastAsia="华文仿宋" w:cs="Segoe UI"/>
          <w:kern w:val="0"/>
          <w:sz w:val="28"/>
          <w:szCs w:val="28"/>
          <w:lang w:val="en-US" w:eastAsia="zh-CN"/>
        </w:rPr>
        <w:t>网址：https://dir.ctgu.edu.cn/info/1145/2385.htm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华文仿宋">
    <w:altName w:val="Microsoft YaHei"/>
    <w:panose1 w:val="02010600040101010101"/>
    <w:charset w:val="86"/>
    <w:family w:val="auto"/>
    <w:pitch w:val="default"/>
    <w:sig w:usb0="00000000" w:usb1="00000000" w:usb2="00000010" w:usb3="00000000" w:csb0="0004009F" w:csb1="00000000"/>
  </w:font>
  <w:font w:name="FangSong">
    <w:panose1 w:val="02010609060101010101"/>
    <w:charset w:val="86"/>
    <w:family w:val="modern"/>
    <w:pitch w:val="default"/>
    <w:sig w:usb0="800002BF" w:usb1="38CF7CFA" w:usb2="00000016" w:usb3="00000000" w:csb0="00040001"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257F42"/>
    <w:multiLevelType w:val="multilevel"/>
    <w:tmpl w:val="78257F42"/>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E2N2ZkNTNmNmQ5YjhjZWIwOTE2YWJhMGE2MTcxMWYifQ=="/>
  </w:docVars>
  <w:rsids>
    <w:rsidRoot w:val="000E204B"/>
    <w:rsid w:val="00020BF8"/>
    <w:rsid w:val="000361AD"/>
    <w:rsid w:val="0004477C"/>
    <w:rsid w:val="0005367D"/>
    <w:rsid w:val="000613EB"/>
    <w:rsid w:val="0007404E"/>
    <w:rsid w:val="000A32A1"/>
    <w:rsid w:val="000B1764"/>
    <w:rsid w:val="000B2ADB"/>
    <w:rsid w:val="000B2F2F"/>
    <w:rsid w:val="000C427C"/>
    <w:rsid w:val="000E1C7A"/>
    <w:rsid w:val="000E204B"/>
    <w:rsid w:val="000E4691"/>
    <w:rsid w:val="001176D3"/>
    <w:rsid w:val="001229FC"/>
    <w:rsid w:val="00167064"/>
    <w:rsid w:val="00177774"/>
    <w:rsid w:val="00181FE2"/>
    <w:rsid w:val="001976DC"/>
    <w:rsid w:val="001B0E56"/>
    <w:rsid w:val="001D0C77"/>
    <w:rsid w:val="001D1A6B"/>
    <w:rsid w:val="001E24DF"/>
    <w:rsid w:val="00201D6C"/>
    <w:rsid w:val="002363DB"/>
    <w:rsid w:val="00237066"/>
    <w:rsid w:val="00245A7D"/>
    <w:rsid w:val="00286346"/>
    <w:rsid w:val="00291F8F"/>
    <w:rsid w:val="002A202C"/>
    <w:rsid w:val="002A2D90"/>
    <w:rsid w:val="002A5994"/>
    <w:rsid w:val="002B549F"/>
    <w:rsid w:val="002B54A9"/>
    <w:rsid w:val="002B71A3"/>
    <w:rsid w:val="002C211A"/>
    <w:rsid w:val="002F0432"/>
    <w:rsid w:val="00315F21"/>
    <w:rsid w:val="00327D9E"/>
    <w:rsid w:val="00335396"/>
    <w:rsid w:val="00343D4F"/>
    <w:rsid w:val="0035712B"/>
    <w:rsid w:val="00364B32"/>
    <w:rsid w:val="00366FCF"/>
    <w:rsid w:val="003B4D5E"/>
    <w:rsid w:val="003C39D9"/>
    <w:rsid w:val="003C73D1"/>
    <w:rsid w:val="003F67FB"/>
    <w:rsid w:val="003F72EC"/>
    <w:rsid w:val="00403FFB"/>
    <w:rsid w:val="00435477"/>
    <w:rsid w:val="00437403"/>
    <w:rsid w:val="00444BB0"/>
    <w:rsid w:val="00474FB0"/>
    <w:rsid w:val="004922F4"/>
    <w:rsid w:val="004E2CAF"/>
    <w:rsid w:val="004F02C1"/>
    <w:rsid w:val="004F1000"/>
    <w:rsid w:val="005004DE"/>
    <w:rsid w:val="0059394F"/>
    <w:rsid w:val="005B0A4F"/>
    <w:rsid w:val="005D20B7"/>
    <w:rsid w:val="005D3CBA"/>
    <w:rsid w:val="005D40A7"/>
    <w:rsid w:val="005E50B8"/>
    <w:rsid w:val="00601FDC"/>
    <w:rsid w:val="006034B0"/>
    <w:rsid w:val="00603820"/>
    <w:rsid w:val="00606810"/>
    <w:rsid w:val="00651DDB"/>
    <w:rsid w:val="0066253A"/>
    <w:rsid w:val="006625F4"/>
    <w:rsid w:val="00663421"/>
    <w:rsid w:val="0067642B"/>
    <w:rsid w:val="00686AD1"/>
    <w:rsid w:val="006A2F46"/>
    <w:rsid w:val="006A49FF"/>
    <w:rsid w:val="006B32EA"/>
    <w:rsid w:val="006C45CE"/>
    <w:rsid w:val="006C75C4"/>
    <w:rsid w:val="006D1197"/>
    <w:rsid w:val="006D60B5"/>
    <w:rsid w:val="006E335D"/>
    <w:rsid w:val="006F43DA"/>
    <w:rsid w:val="00730F1C"/>
    <w:rsid w:val="00760144"/>
    <w:rsid w:val="007865DB"/>
    <w:rsid w:val="007A05F6"/>
    <w:rsid w:val="00812749"/>
    <w:rsid w:val="008129EF"/>
    <w:rsid w:val="008217E5"/>
    <w:rsid w:val="00845AB0"/>
    <w:rsid w:val="008F61C3"/>
    <w:rsid w:val="008F6FFA"/>
    <w:rsid w:val="00905F60"/>
    <w:rsid w:val="009177A5"/>
    <w:rsid w:val="00953FE1"/>
    <w:rsid w:val="00982E6B"/>
    <w:rsid w:val="009914AC"/>
    <w:rsid w:val="009A6A69"/>
    <w:rsid w:val="009B224B"/>
    <w:rsid w:val="009C4E58"/>
    <w:rsid w:val="00A0098E"/>
    <w:rsid w:val="00A0595F"/>
    <w:rsid w:val="00A61C62"/>
    <w:rsid w:val="00A83378"/>
    <w:rsid w:val="00AB56FB"/>
    <w:rsid w:val="00AD5C3E"/>
    <w:rsid w:val="00AE02CB"/>
    <w:rsid w:val="00AE072C"/>
    <w:rsid w:val="00B42DC2"/>
    <w:rsid w:val="00B45909"/>
    <w:rsid w:val="00B53E09"/>
    <w:rsid w:val="00B54013"/>
    <w:rsid w:val="00BA3FD5"/>
    <w:rsid w:val="00BA73D9"/>
    <w:rsid w:val="00C15737"/>
    <w:rsid w:val="00C15C69"/>
    <w:rsid w:val="00C52F41"/>
    <w:rsid w:val="00C61992"/>
    <w:rsid w:val="00C77D1A"/>
    <w:rsid w:val="00C86472"/>
    <w:rsid w:val="00C95A93"/>
    <w:rsid w:val="00CA57B5"/>
    <w:rsid w:val="00CC19A6"/>
    <w:rsid w:val="00CF394B"/>
    <w:rsid w:val="00D2589A"/>
    <w:rsid w:val="00D42B19"/>
    <w:rsid w:val="00D478BF"/>
    <w:rsid w:val="00D7407A"/>
    <w:rsid w:val="00D76E86"/>
    <w:rsid w:val="00DA03A5"/>
    <w:rsid w:val="00DA42DD"/>
    <w:rsid w:val="00DD1926"/>
    <w:rsid w:val="00DE6523"/>
    <w:rsid w:val="00DF029E"/>
    <w:rsid w:val="00E0664D"/>
    <w:rsid w:val="00E26DEE"/>
    <w:rsid w:val="00E4113B"/>
    <w:rsid w:val="00E418A5"/>
    <w:rsid w:val="00E554B5"/>
    <w:rsid w:val="00E91CAE"/>
    <w:rsid w:val="00F126D7"/>
    <w:rsid w:val="00F45D1D"/>
    <w:rsid w:val="00F90B1F"/>
    <w:rsid w:val="00F912D2"/>
    <w:rsid w:val="00FA6453"/>
    <w:rsid w:val="00FB67BF"/>
    <w:rsid w:val="00FD09E8"/>
    <w:rsid w:val="7E6421F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3"/>
    <w:semiHidden/>
    <w:unhideWhenUsed/>
    <w:uiPriority w:val="99"/>
    <w:pPr>
      <w:jc w:val="left"/>
    </w:pPr>
  </w:style>
  <w:style w:type="paragraph" w:styleId="3">
    <w:name w:val="Balloon Text"/>
    <w:basedOn w:val="1"/>
    <w:link w:val="15"/>
    <w:semiHidden/>
    <w:unhideWhenUsed/>
    <w:uiPriority w:val="99"/>
    <w:rPr>
      <w:sz w:val="18"/>
      <w:szCs w:val="18"/>
    </w:rPr>
  </w:style>
  <w:style w:type="paragraph" w:styleId="4">
    <w:name w:val="footer"/>
    <w:basedOn w:val="1"/>
    <w:link w:val="18"/>
    <w:unhideWhenUsed/>
    <w:uiPriority w:val="99"/>
    <w:pPr>
      <w:tabs>
        <w:tab w:val="center" w:pos="4153"/>
        <w:tab w:val="right" w:pos="8306"/>
      </w:tabs>
      <w:snapToGrid w:val="0"/>
      <w:jc w:val="left"/>
    </w:pPr>
    <w:rPr>
      <w:sz w:val="18"/>
      <w:szCs w:val="18"/>
    </w:rPr>
  </w:style>
  <w:style w:type="paragraph" w:styleId="5">
    <w:name w:val="header"/>
    <w:basedOn w:val="1"/>
    <w:link w:val="17"/>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uiPriority w:val="99"/>
    <w:pPr>
      <w:widowControl/>
      <w:spacing w:before="100" w:beforeAutospacing="1" w:after="100" w:afterAutospacing="1"/>
      <w:jc w:val="left"/>
    </w:pPr>
    <w:rPr>
      <w:rFonts w:ascii="SimSun" w:hAnsi="SimSun" w:eastAsia="SimSun" w:cs="SimSun"/>
      <w:kern w:val="0"/>
      <w:sz w:val="24"/>
      <w:szCs w:val="24"/>
    </w:rPr>
  </w:style>
  <w:style w:type="paragraph" w:styleId="7">
    <w:name w:val="annotation subject"/>
    <w:basedOn w:val="2"/>
    <w:next w:val="2"/>
    <w:link w:val="14"/>
    <w:semiHidden/>
    <w:unhideWhenUsed/>
    <w:uiPriority w:val="99"/>
    <w:rPr>
      <w:b/>
      <w:bCs/>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unhideWhenUsed/>
    <w:qFormat/>
    <w:uiPriority w:val="99"/>
    <w:rPr>
      <w:color w:val="0000FF"/>
      <w:u w:val="single"/>
    </w:rPr>
  </w:style>
  <w:style w:type="character" w:styleId="12">
    <w:name w:val="annotation reference"/>
    <w:basedOn w:val="10"/>
    <w:semiHidden/>
    <w:unhideWhenUsed/>
    <w:qFormat/>
    <w:uiPriority w:val="99"/>
    <w:rPr>
      <w:sz w:val="21"/>
      <w:szCs w:val="21"/>
    </w:rPr>
  </w:style>
  <w:style w:type="character" w:customStyle="1" w:styleId="13">
    <w:name w:val="批注文字 Char"/>
    <w:basedOn w:val="10"/>
    <w:link w:val="2"/>
    <w:semiHidden/>
    <w:uiPriority w:val="99"/>
  </w:style>
  <w:style w:type="character" w:customStyle="1" w:styleId="14">
    <w:name w:val="批注主题 Char"/>
    <w:basedOn w:val="13"/>
    <w:link w:val="7"/>
    <w:semiHidden/>
    <w:uiPriority w:val="99"/>
    <w:rPr>
      <w:b/>
      <w:bCs/>
    </w:rPr>
  </w:style>
  <w:style w:type="character" w:customStyle="1" w:styleId="15">
    <w:name w:val="批注框文本 Char"/>
    <w:basedOn w:val="10"/>
    <w:link w:val="3"/>
    <w:semiHidden/>
    <w:uiPriority w:val="99"/>
    <w:rPr>
      <w:sz w:val="18"/>
      <w:szCs w:val="18"/>
    </w:rPr>
  </w:style>
  <w:style w:type="paragraph" w:styleId="16">
    <w:name w:val="List Paragraph"/>
    <w:basedOn w:val="1"/>
    <w:qFormat/>
    <w:uiPriority w:val="34"/>
    <w:pPr>
      <w:ind w:firstLine="420" w:firstLineChars="200"/>
    </w:pPr>
  </w:style>
  <w:style w:type="character" w:customStyle="1" w:styleId="17">
    <w:name w:val="页眉 Char"/>
    <w:basedOn w:val="10"/>
    <w:link w:val="5"/>
    <w:uiPriority w:val="99"/>
    <w:rPr>
      <w:sz w:val="18"/>
      <w:szCs w:val="18"/>
    </w:rPr>
  </w:style>
  <w:style w:type="character" w:customStyle="1" w:styleId="18">
    <w:name w:val="页脚 Char"/>
    <w:basedOn w:val="10"/>
    <w:link w:val="4"/>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3579</Words>
  <Characters>3822</Characters>
  <Lines>29</Lines>
  <Paragraphs>8</Paragraphs>
  <TotalTime>573</TotalTime>
  <ScaleCrop>false</ScaleCrop>
  <LinksUpToDate>false</LinksUpToDate>
  <CharactersWithSpaces>3841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2022-12-09T06:58:00Z</dcterms:created>
  <dc:creator>T</dc:creator>
  <cp:lastModifiedBy>阿Co</cp:lastModifiedBy>
  <dcterms:modified xsi:type="dcterms:W3CDTF">2023-02-10T09:22:30Z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D9B0EA87991E47239659FF488DB0C4D0</vt:lpwstr>
  </property>
</Properties>
</file>