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Style w:val="4"/>
          <w:rFonts w:hint="eastAsia" w:ascii="SimSun" w:hAnsi="SimSun" w:eastAsia="SimSun" w:cs="SimSun"/>
          <w:b w:val="0"/>
          <w:bCs/>
          <w:i w:val="0"/>
          <w:iCs w:val="0"/>
          <w:caps w:val="0"/>
          <w:color w:val="000000"/>
          <w:spacing w:val="0"/>
          <w:sz w:val="29"/>
          <w:szCs w:val="29"/>
          <w:bdr w:val="none" w:color="auto" w:sz="0" w:space="0"/>
          <w:shd w:val="clear" w:fill="EEEFEF"/>
        </w:rPr>
      </w:pPr>
      <w:r>
        <w:rPr>
          <w:rStyle w:val="4"/>
          <w:rFonts w:hint="eastAsia" w:ascii="SimSun" w:hAnsi="SimSun" w:eastAsia="SimSun" w:cs="SimSun"/>
          <w:b w:val="0"/>
          <w:bCs/>
          <w:i w:val="0"/>
          <w:iCs w:val="0"/>
          <w:caps w:val="0"/>
          <w:color w:val="000000"/>
          <w:spacing w:val="0"/>
          <w:sz w:val="29"/>
          <w:szCs w:val="29"/>
          <w:bdr w:val="none" w:color="auto" w:sz="0" w:space="0"/>
          <w:shd w:val="clear" w:fill="EEEFEF"/>
        </w:rPr>
        <w:t>廣州城市理工學院</w:t>
      </w:r>
    </w:p>
    <w:p>
      <w:pPr>
        <w:rPr>
          <w:rStyle w:val="4"/>
          <w:rFonts w:hint="eastAsia" w:ascii="SimSun" w:hAnsi="SimSun" w:eastAsia="SimSun" w:cs="SimSun"/>
          <w:b w:val="0"/>
          <w:bCs/>
          <w:i w:val="0"/>
          <w:iCs w:val="0"/>
          <w:caps w:val="0"/>
          <w:color w:val="000000"/>
          <w:spacing w:val="0"/>
          <w:sz w:val="29"/>
          <w:szCs w:val="29"/>
          <w:bdr w:val="none" w:color="auto" w:sz="0" w:space="0"/>
          <w:shd w:val="clear" w:fill="EEEFEF"/>
        </w:rPr>
      </w:pPr>
      <w:r>
        <w:rPr>
          <w:rStyle w:val="4"/>
          <w:rFonts w:hint="eastAsia" w:ascii="SimSun" w:hAnsi="SimSun" w:eastAsia="SimSun" w:cs="SimSun"/>
          <w:b w:val="0"/>
          <w:bCs/>
          <w:i w:val="0"/>
          <w:iCs w:val="0"/>
          <w:caps w:val="0"/>
          <w:color w:val="000000"/>
          <w:spacing w:val="0"/>
          <w:sz w:val="29"/>
          <w:szCs w:val="29"/>
          <w:bdr w:val="none" w:color="auto" w:sz="0" w:space="0"/>
          <w:shd w:val="clear" w:fill="EEEFEF"/>
        </w:rPr>
        <w:t>一、招生計畫、招生專業及報讀要求</w:t>
      </w:r>
    </w:p>
    <w:p>
      <w:pPr>
        <w:rPr>
          <w:rStyle w:val="4"/>
          <w:rFonts w:hint="eastAsia" w:ascii="SimSun" w:hAnsi="SimSun" w:eastAsia="SimSun" w:cs="SimSun"/>
          <w:b w:val="0"/>
          <w:bCs/>
          <w:i w:val="0"/>
          <w:iCs w:val="0"/>
          <w:caps w:val="0"/>
          <w:color w:val="000000"/>
          <w:spacing w:val="0"/>
          <w:sz w:val="29"/>
          <w:szCs w:val="29"/>
          <w:bdr w:val="none" w:color="auto" w:sz="0" w:space="0"/>
          <w:shd w:val="clear" w:fill="EEEFEF"/>
        </w:rPr>
      </w:pPr>
      <w:r>
        <w:rPr>
          <w:rStyle w:val="4"/>
          <w:rFonts w:hint="eastAsia" w:ascii="SimSun" w:hAnsi="SimSun" w:eastAsia="SimSun" w:cs="SimSun"/>
          <w:b w:val="0"/>
          <w:bCs/>
          <w:i w:val="0"/>
          <w:iCs w:val="0"/>
          <w:caps w:val="0"/>
          <w:color w:val="000000"/>
          <w:spacing w:val="0"/>
          <w:sz w:val="29"/>
          <w:szCs w:val="29"/>
          <w:bdr w:val="none" w:color="auto" w:sz="0" w:space="0"/>
          <w:shd w:val="clear" w:fill="EEEFEF"/>
        </w:rPr>
        <w:t>2023年我校計畫招收臺灣高中畢業生20人，實際將根據考生志願填報、專業培養需求和生源情況作相應調整。</w:t>
      </w:r>
    </w:p>
    <w:p>
      <w:pPr>
        <w:rPr>
          <w:rStyle w:val="4"/>
          <w:rFonts w:hint="eastAsia" w:ascii="SimSun" w:hAnsi="SimSun" w:eastAsia="SimSun" w:cs="SimSun"/>
          <w:b w:val="0"/>
          <w:bCs/>
          <w:i w:val="0"/>
          <w:iCs w:val="0"/>
          <w:caps w:val="0"/>
          <w:color w:val="000000"/>
          <w:spacing w:val="0"/>
          <w:sz w:val="29"/>
          <w:szCs w:val="29"/>
          <w:bdr w:val="none" w:color="auto" w:sz="0" w:space="0"/>
          <w:shd w:val="clear" w:fill="EEEFEF"/>
        </w:rPr>
      </w:pPr>
      <w:r>
        <w:rPr>
          <w:rStyle w:val="4"/>
          <w:rFonts w:hint="eastAsia" w:ascii="SimSun" w:hAnsi="SimSun" w:eastAsia="SimSun" w:cs="SimSun"/>
          <w:b w:val="0"/>
          <w:bCs/>
          <w:i w:val="0"/>
          <w:iCs w:val="0"/>
          <w:caps w:val="0"/>
          <w:color w:val="000000"/>
          <w:spacing w:val="0"/>
          <w:sz w:val="29"/>
          <w:szCs w:val="29"/>
          <w:bdr w:val="none" w:color="auto" w:sz="0" w:space="0"/>
          <w:shd w:val="clear" w:fill="EEEFEF"/>
        </w:rPr>
        <w:t>招生專業及報讀要求如下：</w:t>
      </w:r>
    </w:p>
    <w:p>
      <w:r>
        <w:drawing>
          <wp:inline distT="0" distB="0" distL="114300" distR="114300">
            <wp:extent cx="5272405" cy="3724910"/>
            <wp:effectExtent l="0" t="0" r="10795" b="88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724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r>
        <w:rPr>
          <w:rFonts w:hint="eastAsia"/>
        </w:rPr>
        <w:t>二、報名與錄取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(一)報名條件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1.持有《臺灣居民居住證》或《臺灣居民來往大陸通行證》、 以及在臺灣居住的有效身份證明，考生所持證件須與考生本人資訊一致，且在有效期之內。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2.參加當年臺灣地區大學入學考試學科能力測驗，其中語文、數學、英文考試科目成績詳見報讀要求。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(二)報名時間和方式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1.報名時間：2023年3月1日至31日。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2.報名方式：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考生登錄祖國（大陸）普通高校依據臺灣地區學測成績招收臺灣高中畢業生報名系統（網址： https://www.gatzs.com.cn/z/tw/）進行報名。考生須按照要求輸入個人資訊，上傳個人證件、電子照片、學測成績、考生誠信承諾書等基本材料，提交成績查驗授權書。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報讀產品設計、服裝與服飾設計、視覺傳達設計專業需提交作品，作品要求見附件1。請將作品掃描或拍照後（標注“姓名-臺灣學測生-作品”字樣），在2023年4月31日前發送至郵箱：dep-zs@gcu.edu.cn，請考生在上傳掃描件時須確保電子檔清晰可讀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(三)錄取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學校依據考生的學測成績，參考考生中學期間學習經歷、社會實踐等情況，按照向社會公佈的招生簡章擇優錄取。對成績達到要求、身體條件能夠完成所報專業學習、生活能夠自理的殘疾考生，學校不因其殘疾而不予錄取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專業分檔時，實行“專業志願優先”原則。學校尊重考生興趣與專業意願，只要投檔到學校的考生，按考生填報的第一專業錄取。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三、收費標準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被我校錄取的臺灣高中畢業生入學註冊時，應按照學校規定繳納學費、住宿費及其他費用，收費標準與祖國大陸同專業學生相同，具體收費可在我校招生網查詢。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四、入學及在校管理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1.被我校錄取的學生請按照錄取通知書規定的時間到學校報到註冊；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2.新生入校後須進行入學資格審查，凡不符合報名、錄取條件或弄虛作假者，將被取消入學資格；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3.臺灣地區學生的教育和管理均按《普通高等學校招收和培養香港特別行政區、澳門特別行政區及臺灣地區學生的規定》（教港澳臺〔2016〕96號）及我校本科學生相關規定執行。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五、獎學金制度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臺灣地區學生在讀期間可申請教育部及廣州城市理工學院獎學金。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六、身體健康狀況檢查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新生入學後的體檢複檢工作，按照有關規定組織進行。體檢標準參照教育部、衛生部、中國殘疾人聯合會《關於印發&lt;普通高等學校招生體檢工作指導意見&gt;的通知》（教學〔2003〕3 號）、《教育部辦公廳 衛生部辦公廳關於普通 高等學校招生學生入學身體檢查取消乙肝專案檢測有關問 題的通知》 （教學廳〔2010〕2 號）及教育部《關於明確慢 性肝炎病人並且肝功能不正常的具體判定標準的函》 （教學司函〔2010〕22 號） 要求執行，對復查後發現不能進行正常學習的考生，按學籍管理規定處理。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七、學歷證書及證書種類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在允許的修業期限內獲得規定的學分，達到畢業要求的，准予畢業並頒發廣州城市理工學院畢業證書；對符合學士學位授予條件的本科畢業生，授予廣州城市理工學院學士學位並頒發學位證書。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八、其他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本簡章內容如與上級教育主管部門招生規定不一致時，以上級教育主管部門規定為准。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本簡章經廣州城市理工學院招生工作領導小組討論通過並正式實施，未盡事宜由廣州城市理工學院招生辦公室負責解釋。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九、監督與申訴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學校遵循“公平、公正、公開、綜合評價、擇優錄取”的原則做好招生工作，建立和完善監督機制，嚴格規範管理、加強資訊公開。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考生申訴及舉報聯繫人：任老師；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聯繫方式：020-36903520。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网址：https://zs.gcu.edu.cn/2018/1109/c125a555/page.htm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2N2ZkNTNmNmQ5YjhjZWIwOTE2YWJhMGE2MTcxMWYifQ=="/>
  </w:docVars>
  <w:rsids>
    <w:rsidRoot w:val="17D00E2D"/>
    <w:rsid w:val="17D00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83</Words>
  <Characters>87</Characters>
  <Lines>0</Lines>
  <Paragraphs>0</Paragraphs>
  <TotalTime>2</TotalTime>
  <ScaleCrop>false</ScaleCrop>
  <LinksUpToDate>false</LinksUpToDate>
  <CharactersWithSpaces>87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2023-02-10T17:29:00Z</dcterms:created>
  <dc:creator>阿Co</dc:creator>
  <cp:lastModifiedBy>阿Co</cp:lastModifiedBy>
  <dcterms:modified xsi:type="dcterms:W3CDTF">2023-02-10T17:32:21Z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3CA57889660242B6A01F2453EAB1A2D7</vt:lpwstr>
  </property>
</Properties>
</file>