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中国民航大学2022年依据台湾地区学测成绩招收台湾高中毕业生简章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一、招生计划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 xml:space="preserve">    招生计划10人。招生专业详见《中国民航大学2022年依据台湾地区学测成绩招收台湾高中毕业生入学专业一览表》（详见附件），各专业招生计划可打通使用（即不限制各专业录取人数，各专业合计不超过10人）。</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二、报名</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（一）报名资格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1. 持有《台湾居民居住证》或《台湾居民来往大陆通行证》、以及在台湾居住的有效身份证明，考生所持证件须与考生本人信息一致，且在有效期之内。若《台湾居民来往大陆通行证》正在办理中的，考生须在5月1日前上传至系统，逾期不再受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2.参加当年台湾地区大学入学考试学科能力测试（以下简称学测）且在</w:t>
      </w:r>
      <w:bookmarkStart w:id="0" w:name="_GoBack"/>
      <w:r>
        <w:rPr>
          <w:rFonts w:hint="eastAsia" w:ascii="標楷體" w:hAnsi="標楷體" w:eastAsia="標楷體" w:cs="標楷體"/>
          <w:b w:val="0"/>
          <w:bCs w:val="0"/>
          <w:i w:val="0"/>
          <w:iCs w:val="0"/>
          <w:caps w:val="0"/>
          <w:color w:val="000000"/>
          <w:spacing w:val="0"/>
          <w:sz w:val="24"/>
          <w:szCs w:val="24"/>
          <w:shd w:val="clear" w:fill="FFFFFF"/>
        </w:rPr>
        <w:t>语文、数学A/B、英文考试科目中任意一科达到均标级</w:t>
      </w:r>
      <w:bookmarkEnd w:id="0"/>
      <w:r>
        <w:rPr>
          <w:rFonts w:hint="eastAsia" w:ascii="標楷體" w:hAnsi="標楷體" w:eastAsia="標楷體" w:cs="標楷體"/>
          <w:b w:val="0"/>
          <w:bCs w:val="0"/>
          <w:i w:val="0"/>
          <w:iCs w:val="0"/>
          <w:caps w:val="0"/>
          <w:color w:val="000000"/>
          <w:spacing w:val="0"/>
          <w:sz w:val="24"/>
          <w:szCs w:val="24"/>
          <w:shd w:val="clear" w:fill="FFFFFF"/>
        </w:rPr>
        <w:t>以上的台湾高中毕业生。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3.申请者身体状况应符合《普通高等学校招生体检工作指导意见》中的规定。</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（二）报名时间及方式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报名时间为2022年3月1日至31日。</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能展现申请者个人能力的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系统报名不收取考生报考费。</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（三）填报志愿</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志愿填报采取平行志愿方式。填报志愿前，考生须认真阅读报名系统操作指南和我校招生简章，按报考条件及相关要求填报志愿。</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每位考生报名时可填报6所高校，每所高校可填报6个专业，并选择是否服从专业调剂。考生可在报名截止前修改志愿，逾期不得修改。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三、审核及录取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（一）审核阶段</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学校对考生报名资格进行初审，包括身份审核、学历审核及学测成绩审核等。</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考生应及时登录系统查看审核结果。系统显示需更正或补充材料的，考生应在规定时间内更正或补充有关材料，提交后及时查看审核结果，逾期提交不再受理。系统显示初审不通过的考生不得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（二）录取阶段</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学校依据考生的学测成绩，参考考生中学期间学习经历、社会实践等情况择优录取。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系统将于5月15日统一公布各校拟录取名单，考生须于5月15日至19日期间登录系统查询本人录取情况，进行录取确认。逾期未确认的考生视为放弃录取资格，且不得参加征集志愿报名。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学校将根据录取情况确定是否开展征集志愿。若开展征集志愿录取，考生于5月21日至31日期间进行报名。系统6月21日统一公布各校征集志愿拟录取名单。考生须于6月21日至25日期间登录系统查询本人录取情况，进行录取确认。逾期未确认的考生视为放弃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学校将于2022年8月发放正式录取通知书。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四、相关规定和要求</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1.被录取的台湾地区高中生须缴纳学费、住宿费和杂费，收费标准与大陆同专业学生标准一致，以天津市发展和改革委员会、天津市财政局、天津市教育委员会核定标准为准。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2.新生持《录取通知书》按照《新生入学手册》规定的时间报到，因故不能按时报到者，应提前向学校请假，并获批准方可延期报到。在规定时间未报到又未请假者取消其入学资格。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3.新生入校后，我校将核查其入学资格，并进行身体检查。凡不符合本简章的报名条件及相关专业报考要求者，将依据《教育部办公厅关于 2022 年普通高等学校依据台湾地区大学入学考试学科能力测试成绩招收台湾高中毕业生的通知》及我校相关文件规定者处理。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4.在校学习期间，原则上与同专业大陆学生同住，按照《普通高等学校招收和培养香港特别行政区、澳门特别行政区及台湾地区学生的规定》和《中国民航大学港澳台学生管理办法》进行管理。</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五、联系方式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招生联系单位：中国民航大学招生办公室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招生联系电话：0086-22-24092126</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传真：0086-22-24391746</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招生网址：http://www.cauc.edu.cn/zsb/</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管理联系单位：中国民航大学港澳台事务办公室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管理联系电话：0086-22-24092036</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监督举报电话：0086-22-24092242</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中国民航大学地址：天津市东丽区津北公路2898号</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邮编：300300</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六、本招生简章由中国民航大学招生办公室负责解释。</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中国民航大学招生办公室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r>
        <w:rPr>
          <w:rFonts w:hint="eastAsia" w:ascii="標楷體" w:hAnsi="標楷體" w:eastAsia="標楷體" w:cs="標楷體"/>
          <w:b w:val="0"/>
          <w:bCs w:val="0"/>
          <w:i w:val="0"/>
          <w:iCs w:val="0"/>
          <w:caps w:val="0"/>
          <w:color w:val="000000"/>
          <w:spacing w:val="0"/>
          <w:sz w:val="24"/>
          <w:szCs w:val="24"/>
          <w:shd w:val="clear" w:fill="FFFFFF"/>
        </w:rPr>
        <w:t>2022年2月21日</w:t>
      </w:r>
    </w:p>
    <w:p>
      <w:pPr>
        <w:keepNext w:val="0"/>
        <w:keepLines w:val="0"/>
        <w:pageBreakBefore w:val="0"/>
        <w:widowControl w:val="0"/>
        <w:kinsoku/>
        <w:wordWrap/>
        <w:overflowPunct/>
        <w:topLinePunct w:val="0"/>
        <w:autoSpaceDE/>
        <w:autoSpaceDN/>
        <w:bidi w:val="0"/>
        <w:adjustRightInd/>
        <w:snapToGrid w:val="0"/>
        <w:textAlignment w:val="auto"/>
        <w:rPr>
          <w:rFonts w:hint="default" w:ascii="標楷體" w:hAnsi="標楷體" w:eastAsia="SimSun" w:cs="標楷體"/>
          <w:b w:val="0"/>
          <w:bCs w:val="0"/>
          <w:i w:val="0"/>
          <w:iCs w:val="0"/>
          <w:caps w:val="0"/>
          <w:color w:val="000000"/>
          <w:spacing w:val="0"/>
          <w:sz w:val="24"/>
          <w:szCs w:val="24"/>
          <w:shd w:val="clear" w:fill="FFFFFF"/>
          <w:lang w:val="en-US" w:eastAsia="zh-CN"/>
        </w:rPr>
      </w:pPr>
      <w:r>
        <w:rPr>
          <w:rFonts w:hint="eastAsia" w:ascii="標楷體" w:hAnsi="標楷體" w:eastAsia="標楷體" w:cs="標楷體"/>
          <w:b w:val="0"/>
          <w:bCs w:val="0"/>
          <w:i w:val="0"/>
          <w:iCs w:val="0"/>
          <w:caps w:val="0"/>
          <w:color w:val="000000"/>
          <w:spacing w:val="0"/>
          <w:sz w:val="24"/>
          <w:szCs w:val="24"/>
          <w:shd w:val="clear" w:fill="FFFFFF"/>
        </w:rPr>
        <w:br w:type="textWrapping"/>
      </w:r>
      <w:r>
        <w:rPr>
          <w:rFonts w:hint="eastAsia" w:ascii="標楷體" w:hAnsi="標楷體" w:eastAsia="標楷體" w:cs="標楷體"/>
          <w:b w:val="0"/>
          <w:bCs w:val="0"/>
          <w:i w:val="0"/>
          <w:iCs w:val="0"/>
          <w:caps w:val="0"/>
          <w:color w:val="000000"/>
          <w:spacing w:val="0"/>
          <w:sz w:val="24"/>
          <w:szCs w:val="24"/>
          <w:shd w:val="clear" w:fill="FFFFFF"/>
        </w:rPr>
        <w:br w:type="textWrapping"/>
      </w:r>
      <w:r>
        <w:rPr>
          <w:rFonts w:hint="eastAsia" w:ascii="標楷體" w:hAnsi="標楷體" w:eastAsia="標楷體" w:cs="標楷體"/>
          <w:b w:val="0"/>
          <w:bCs w:val="0"/>
          <w:i w:val="0"/>
          <w:iCs w:val="0"/>
          <w:caps w:val="0"/>
          <w:color w:val="000000"/>
          <w:spacing w:val="0"/>
          <w:sz w:val="24"/>
          <w:szCs w:val="24"/>
          <w:shd w:val="clear" w:fill="FFFFFF"/>
        </w:rPr>
        <w:br w:type="textWrapping"/>
      </w:r>
      <w:r>
        <w:rPr>
          <w:rFonts w:hint="eastAsia" w:ascii="標楷體" w:hAnsi="標楷體" w:eastAsia="標楷體" w:cs="標楷體"/>
          <w:b w:val="0"/>
          <w:bCs w:val="0"/>
          <w:i w:val="0"/>
          <w:iCs w:val="0"/>
          <w:caps w:val="0"/>
          <w:color w:val="000000"/>
          <w:spacing w:val="0"/>
          <w:sz w:val="24"/>
          <w:szCs w:val="24"/>
          <w:shd w:val="clear" w:fill="FFFFFF"/>
        </w:rPr>
        <w:br w:type="textWrapping"/>
      </w:r>
      <w:r>
        <w:rPr>
          <w:rFonts w:hint="eastAsia" w:ascii="標楷體" w:hAnsi="標楷體" w:eastAsia="SimSun" w:cs="標楷體"/>
          <w:b w:val="0"/>
          <w:bCs w:val="0"/>
          <w:i w:val="0"/>
          <w:iCs w:val="0"/>
          <w:caps w:val="0"/>
          <w:color w:val="000000"/>
          <w:spacing w:val="0"/>
          <w:sz w:val="24"/>
          <w:szCs w:val="24"/>
          <w:shd w:val="clear" w:fill="FFFFFF"/>
          <w:lang w:val="en-US" w:eastAsia="zh-CN"/>
        </w:rPr>
        <w:t>网址:https://www.cauc.edu.cn/zsb/index.php?m=List&amp;a=detail&amp;id=170</w:t>
      </w:r>
    </w:p>
    <w:p>
      <w:pPr>
        <w:keepNext w:val="0"/>
        <w:keepLines w:val="0"/>
        <w:pageBreakBefore w:val="0"/>
        <w:widowControl w:val="0"/>
        <w:kinsoku/>
        <w:wordWrap/>
        <w:overflowPunct/>
        <w:topLinePunct w:val="0"/>
        <w:autoSpaceDE/>
        <w:autoSpaceDN/>
        <w:bidi w:val="0"/>
        <w:adjustRightInd/>
        <w:snapToGrid w:val="0"/>
        <w:textAlignment w:val="auto"/>
        <w:rPr>
          <w:rFonts w:hint="eastAsia" w:ascii="標楷體" w:hAnsi="標楷體" w:eastAsia="標楷體" w:cs="標楷體"/>
          <w:b w:val="0"/>
          <w:bCs w:val="0"/>
          <w:i w:val="0"/>
          <w:iCs w:val="0"/>
          <w:caps w:val="0"/>
          <w:color w:val="000000"/>
          <w:spacing w:val="0"/>
          <w:sz w:val="24"/>
          <w:szCs w:val="24"/>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Gothic">
    <w:panose1 w:val="020B0502020202020204"/>
    <w:charset w:val="00"/>
    <w:family w:val="auto"/>
    <w:pitch w:val="default"/>
    <w:sig w:usb0="00000287" w:usb1="00000000" w:usb2="00000000" w:usb3="00000000" w:csb0="2000009F" w:csb1="DFD7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55DBC"/>
    <w:rsid w:val="10255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2022-02-23T08:58:00Z</dcterms:created>
  <dc:creator>阿Co</dc:creator>
  <cp:lastModifiedBy>阿Co</cp:lastModifiedBy>
  <dcterms:modified xsi:type="dcterms:W3CDTF">2022-02-23T09:00:18Z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3E07156433C44F729B2FE53FF1EB120C</vt:lpwstr>
  </property>
</Properties>
</file>