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SimSun" w:hAnsi="SimSun" w:eastAsia="SimSun" w:cs="SimSun"/>
          <w:b/>
          <w:bCs/>
          <w:i w:val="0"/>
          <w:iCs w:val="0"/>
          <w:caps w:val="0"/>
          <w:color w:val="333333"/>
          <w:spacing w:val="0"/>
          <w:sz w:val="16"/>
          <w:szCs w:val="16"/>
        </w:rPr>
      </w:pPr>
      <w:r>
        <w:rPr>
          <w:rFonts w:hint="eastAsia" w:ascii="SimSun" w:hAnsi="SimSun" w:eastAsia="SimSun" w:cs="SimSun"/>
          <w:b/>
          <w:bCs/>
          <w:i w:val="0"/>
          <w:iCs w:val="0"/>
          <w:caps w:val="0"/>
          <w:color w:val="000000"/>
          <w:spacing w:val="0"/>
          <w:sz w:val="16"/>
          <w:szCs w:val="16"/>
        </w:rPr>
        <w:t>2022</w:t>
      </w:r>
      <w:r>
        <w:rPr>
          <w:rFonts w:hint="eastAsia" w:ascii="SimSun" w:hAnsi="SimSun" w:eastAsia="SimSun" w:cs="SimSun"/>
          <w:b/>
          <w:bCs/>
          <w:i w:val="0"/>
          <w:iCs w:val="0"/>
          <w:caps w:val="0"/>
          <w:color w:val="333333"/>
          <w:spacing w:val="0"/>
          <w:sz w:val="16"/>
          <w:szCs w:val="16"/>
        </w:rPr>
        <w:t>年上海</w:t>
      </w:r>
      <w:bookmarkStart w:id="0" w:name="_GoBack"/>
      <w:bookmarkEnd w:id="0"/>
      <w:r>
        <w:rPr>
          <w:rFonts w:hint="eastAsia" w:ascii="SimSun" w:hAnsi="SimSun" w:eastAsia="SimSun" w:cs="SimSun"/>
          <w:b/>
          <w:bCs/>
          <w:i w:val="0"/>
          <w:iCs w:val="0"/>
          <w:caps w:val="0"/>
          <w:color w:val="333333"/>
          <w:spacing w:val="0"/>
          <w:sz w:val="16"/>
          <w:szCs w:val="16"/>
        </w:rPr>
        <w:t>第二工业大学台湾地区本科生招生简章</w:t>
      </w:r>
    </w:p>
    <w:p>
      <w:pPr>
        <w:jc w:val="left"/>
        <w:rPr>
          <w:rFonts w:hint="eastAsia" w:ascii="SimSun" w:hAnsi="SimSun" w:eastAsia="SimSun" w:cs="SimSun"/>
          <w:b/>
          <w:bCs/>
          <w:i w:val="0"/>
          <w:iCs w:val="0"/>
          <w:caps w:val="0"/>
          <w:color w:val="333333"/>
          <w:spacing w:val="0"/>
          <w:sz w:val="16"/>
          <w:szCs w:val="16"/>
        </w:rPr>
      </w:pPr>
      <w:r>
        <w:rPr>
          <w:rFonts w:hint="eastAsia" w:ascii="SimSun" w:hAnsi="SimSun" w:eastAsia="SimSun" w:cs="SimSun"/>
          <w:b/>
          <w:bCs/>
          <w:i w:val="0"/>
          <w:iCs w:val="0"/>
          <w:caps w:val="0"/>
          <w:color w:val="333333"/>
          <w:spacing w:val="0"/>
          <w:sz w:val="16"/>
          <w:szCs w:val="16"/>
          <w:lang w:val="en-US" w:eastAsia="zh-CN"/>
        </w:rPr>
        <w:t>報</w:t>
      </w:r>
      <w:r>
        <w:rPr>
          <w:rFonts w:hint="eastAsia" w:ascii="SimSun" w:hAnsi="SimSun" w:eastAsia="SimSun" w:cs="SimSun"/>
          <w:b/>
          <w:bCs/>
          <w:i w:val="0"/>
          <w:iCs w:val="0"/>
          <w:caps w:val="0"/>
          <w:color w:val="333333"/>
          <w:spacing w:val="0"/>
          <w:sz w:val="16"/>
          <w:szCs w:val="16"/>
        </w:rPr>
        <w:t>名条件</w:t>
      </w:r>
    </w:p>
    <w:p>
      <w:pPr>
        <w:jc w:val="left"/>
        <w:rPr>
          <w:rFonts w:hint="eastAsia" w:ascii="SimSun" w:hAnsi="SimSun" w:eastAsia="SimSun" w:cs="SimSun"/>
          <w:b/>
          <w:bCs/>
          <w:i w:val="0"/>
          <w:iCs w:val="0"/>
          <w:caps w:val="0"/>
          <w:color w:val="333333"/>
          <w:spacing w:val="0"/>
          <w:sz w:val="16"/>
          <w:szCs w:val="16"/>
        </w:rPr>
      </w:pPr>
      <w:r>
        <w:rPr>
          <w:rFonts w:hint="eastAsia" w:ascii="SimSun" w:hAnsi="SimSun" w:eastAsia="SimSun" w:cs="SimSun"/>
          <w:b/>
          <w:bCs/>
          <w:i w:val="0"/>
          <w:iCs w:val="0"/>
          <w:caps w:val="0"/>
          <w:color w:val="333333"/>
          <w:spacing w:val="0"/>
          <w:sz w:val="16"/>
          <w:szCs w:val="16"/>
        </w:rPr>
        <w:t>具有台湾居民居住证或《台湾居民来往大陆通行证》及在台湾居住的有效身份证明，参加当年学测且符合以下条件之一者可报名：</w:t>
      </w:r>
    </w:p>
    <w:p>
      <w:pPr>
        <w:jc w:val="left"/>
        <w:rPr>
          <w:rFonts w:hint="eastAsia" w:ascii="SimSun" w:hAnsi="SimSun" w:eastAsia="SimSun" w:cs="SimSun"/>
          <w:b/>
          <w:bCs/>
          <w:i w:val="0"/>
          <w:iCs w:val="0"/>
          <w:caps w:val="0"/>
          <w:color w:val="333333"/>
          <w:spacing w:val="0"/>
          <w:sz w:val="16"/>
          <w:szCs w:val="16"/>
        </w:rPr>
      </w:pPr>
      <w:r>
        <w:rPr>
          <w:rFonts w:hint="eastAsia" w:ascii="SimSun" w:hAnsi="SimSun" w:eastAsia="SimSun" w:cs="SimSun"/>
          <w:b/>
          <w:bCs/>
          <w:i w:val="0"/>
          <w:iCs w:val="0"/>
          <w:caps w:val="0"/>
          <w:color w:val="333333"/>
          <w:spacing w:val="0"/>
          <w:sz w:val="16"/>
          <w:szCs w:val="16"/>
        </w:rPr>
        <w:t>1．在大陆举办的台商子弟（女）学校学习，且台湾“学测”相应四科（见下表）成绩达均标级的高中毕业生。</w:t>
      </w:r>
    </w:p>
    <w:p>
      <w:pPr>
        <w:jc w:val="left"/>
        <w:rPr>
          <w:rFonts w:hint="eastAsia" w:ascii="SimSun" w:hAnsi="SimSun" w:eastAsia="SimSun" w:cs="SimSun"/>
          <w:b/>
          <w:bCs/>
          <w:i w:val="0"/>
          <w:iCs w:val="0"/>
          <w:caps w:val="0"/>
          <w:color w:val="333333"/>
          <w:spacing w:val="0"/>
          <w:sz w:val="16"/>
          <w:szCs w:val="16"/>
        </w:rPr>
      </w:pPr>
      <w:r>
        <w:rPr>
          <w:rFonts w:hint="eastAsia" w:ascii="SimSun" w:hAnsi="SimSun" w:eastAsia="SimSun" w:cs="SimSun"/>
          <w:b/>
          <w:bCs/>
          <w:i w:val="0"/>
          <w:iCs w:val="0"/>
          <w:caps w:val="0"/>
          <w:color w:val="333333"/>
          <w:spacing w:val="0"/>
          <w:sz w:val="16"/>
          <w:szCs w:val="16"/>
        </w:rPr>
        <w:t>2．在台湾高中学习，且台湾“学测”相应四科（见下表）成绩达均标级的高中毕业生。</w:t>
      </w:r>
    </w:p>
    <w:p>
      <w:pPr>
        <w:jc w:val="left"/>
        <w:rPr>
          <w:rFonts w:hint="eastAsia" w:ascii="SimSun" w:hAnsi="SimSun" w:eastAsia="SimSun" w:cs="SimSun"/>
          <w:b/>
          <w:bCs/>
          <w:i w:val="0"/>
          <w:iCs w:val="0"/>
          <w:caps w:val="0"/>
          <w:color w:val="333333"/>
          <w:spacing w:val="0"/>
          <w:sz w:val="16"/>
          <w:szCs w:val="16"/>
        </w:rPr>
      </w:pPr>
    </w:p>
    <w:p>
      <w:pPr>
        <w:numPr>
          <w:ilvl w:val="0"/>
          <w:numId w:val="1"/>
        </w:numPr>
        <w:jc w:val="left"/>
        <w:rPr>
          <w:rFonts w:hint="eastAsia" w:ascii="SimSun" w:hAnsi="SimSun" w:eastAsia="SimSun" w:cs="SimSun"/>
          <w:b/>
          <w:bCs/>
          <w:i w:val="0"/>
          <w:iCs w:val="0"/>
          <w:caps w:val="0"/>
          <w:color w:val="333333"/>
          <w:spacing w:val="0"/>
          <w:sz w:val="16"/>
          <w:szCs w:val="16"/>
        </w:rPr>
      </w:pPr>
      <w:r>
        <w:rPr>
          <w:rFonts w:hint="eastAsia" w:ascii="SimSun" w:hAnsi="SimSun" w:eastAsia="SimSun" w:cs="SimSun"/>
          <w:b/>
          <w:bCs/>
          <w:i w:val="0"/>
          <w:iCs w:val="0"/>
          <w:caps w:val="0"/>
          <w:color w:val="333333"/>
          <w:spacing w:val="0"/>
          <w:sz w:val="16"/>
          <w:szCs w:val="16"/>
        </w:rPr>
        <w:t>招生计划：10名</w:t>
      </w:r>
    </w:p>
    <w:p>
      <w:pPr>
        <w:numPr>
          <w:numId w:val="0"/>
        </w:numPr>
        <w:jc w:val="left"/>
      </w:pPr>
      <w:r>
        <w:drawing>
          <wp:inline distT="0" distB="0" distL="114300" distR="114300">
            <wp:extent cx="2536190" cy="3503930"/>
            <wp:effectExtent l="0" t="0" r="381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536190" cy="3503930"/>
                    </a:xfrm>
                    <a:prstGeom prst="rect">
                      <a:avLst/>
                    </a:prstGeom>
                    <a:noFill/>
                    <a:ln>
                      <a:noFill/>
                    </a:ln>
                  </pic:spPr>
                </pic:pic>
              </a:graphicData>
            </a:graphic>
          </wp:inline>
        </w:drawing>
      </w:r>
    </w:p>
    <w:p>
      <w:pPr>
        <w:numPr>
          <w:numId w:val="0"/>
        </w:numPr>
        <w:jc w:val="left"/>
      </w:pPr>
      <w:r>
        <w:drawing>
          <wp:inline distT="0" distB="0" distL="114300" distR="114300">
            <wp:extent cx="2580640" cy="2247900"/>
            <wp:effectExtent l="0" t="0" r="1016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2580640" cy="2247900"/>
                    </a:xfrm>
                    <a:prstGeom prst="rect">
                      <a:avLst/>
                    </a:prstGeom>
                    <a:noFill/>
                    <a:ln>
                      <a:noFill/>
                    </a:ln>
                  </pic:spPr>
                </pic:pic>
              </a:graphicData>
            </a:graphic>
          </wp:inline>
        </w:drawing>
      </w:r>
    </w:p>
    <w:p>
      <w:pPr>
        <w:numPr>
          <w:numId w:val="0"/>
        </w:numPr>
        <w:jc w:val="left"/>
      </w:pPr>
      <w:r>
        <w:drawing>
          <wp:inline distT="0" distB="0" distL="114300" distR="114300">
            <wp:extent cx="2625725" cy="3811905"/>
            <wp:effectExtent l="0" t="0" r="3175" b="1079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2625725" cy="3811905"/>
                    </a:xfrm>
                    <a:prstGeom prst="rect">
                      <a:avLst/>
                    </a:prstGeom>
                    <a:noFill/>
                    <a:ln>
                      <a:noFill/>
                    </a:ln>
                  </pic:spPr>
                </pic:pic>
              </a:graphicData>
            </a:graphic>
          </wp:inline>
        </w:drawing>
      </w:r>
    </w:p>
    <w:p>
      <w:pPr>
        <w:numPr>
          <w:numId w:val="0"/>
        </w:numPr>
        <w:jc w:val="left"/>
      </w:pPr>
      <w:r>
        <w:drawing>
          <wp:inline distT="0" distB="0" distL="114300" distR="114300">
            <wp:extent cx="2672715" cy="3498215"/>
            <wp:effectExtent l="0" t="0" r="6985" b="698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2672715" cy="3498215"/>
                    </a:xfrm>
                    <a:prstGeom prst="rect">
                      <a:avLst/>
                    </a:prstGeom>
                    <a:noFill/>
                    <a:ln>
                      <a:noFill/>
                    </a:ln>
                  </pic:spPr>
                </pic:pic>
              </a:graphicData>
            </a:graphic>
          </wp:inline>
        </w:drawing>
      </w:r>
      <w:r>
        <w:drawing>
          <wp:inline distT="0" distB="0" distL="114300" distR="114300">
            <wp:extent cx="2692400" cy="1974850"/>
            <wp:effectExtent l="0" t="0" r="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2692400" cy="1974850"/>
                    </a:xfrm>
                    <a:prstGeom prst="rect">
                      <a:avLst/>
                    </a:prstGeom>
                    <a:noFill/>
                    <a:ln>
                      <a:noFill/>
                    </a:ln>
                  </pic:spPr>
                </pic:pic>
              </a:graphicData>
            </a:graphic>
          </wp:inline>
        </w:drawing>
      </w:r>
    </w:p>
    <w:p>
      <w:pPr>
        <w:numPr>
          <w:numId w:val="0"/>
        </w:numPr>
        <w:jc w:val="left"/>
        <w:rPr>
          <w:rFonts w:hint="eastAsia"/>
        </w:rPr>
      </w:pPr>
      <w:r>
        <w:rPr>
          <w:rFonts w:hint="eastAsia"/>
        </w:rPr>
        <w:t>八、收费标准</w:t>
      </w:r>
    </w:p>
    <w:p>
      <w:pPr>
        <w:numPr>
          <w:numId w:val="0"/>
        </w:numPr>
        <w:jc w:val="left"/>
        <w:rPr>
          <w:rFonts w:hint="eastAsia"/>
        </w:rPr>
      </w:pPr>
    </w:p>
    <w:p>
      <w:pPr>
        <w:numPr>
          <w:numId w:val="0"/>
        </w:numPr>
        <w:jc w:val="left"/>
        <w:rPr>
          <w:rFonts w:hint="eastAsia"/>
        </w:rPr>
      </w:pPr>
      <w:r>
        <w:rPr>
          <w:rFonts w:hint="eastAsia"/>
        </w:rPr>
        <w:t>学费：每生每学年5000元[沪价行〔2000〕120号]</w:t>
      </w:r>
    </w:p>
    <w:p>
      <w:pPr>
        <w:numPr>
          <w:numId w:val="0"/>
        </w:numPr>
        <w:jc w:val="left"/>
        <w:rPr>
          <w:rFonts w:hint="eastAsia"/>
        </w:rPr>
      </w:pPr>
    </w:p>
    <w:p>
      <w:pPr>
        <w:numPr>
          <w:numId w:val="0"/>
        </w:numPr>
        <w:jc w:val="left"/>
        <w:rPr>
          <w:rFonts w:hint="eastAsia"/>
        </w:rPr>
      </w:pPr>
      <w:r>
        <w:rPr>
          <w:rFonts w:hint="eastAsia"/>
        </w:rPr>
        <w:t>住宿费：1200元/年（4人间），1050元/年（6人间）[沪价费(2003)56号]、[沪财预(2003)93号]、[沪教委财(2012)118号]</w:t>
      </w:r>
    </w:p>
    <w:p>
      <w:pPr>
        <w:numPr>
          <w:numId w:val="0"/>
        </w:numPr>
        <w:jc w:val="left"/>
        <w:rPr>
          <w:rFonts w:hint="eastAsia"/>
        </w:rPr>
      </w:pPr>
    </w:p>
    <w:p>
      <w:pPr>
        <w:numPr>
          <w:numId w:val="0"/>
        </w:numPr>
        <w:jc w:val="left"/>
        <w:rPr>
          <w:rFonts w:hint="eastAsia"/>
        </w:rPr>
      </w:pPr>
      <w:r>
        <w:rPr>
          <w:rFonts w:hint="eastAsia"/>
        </w:rPr>
        <w:t>九、身体健康状况要求</w:t>
      </w:r>
    </w:p>
    <w:p>
      <w:pPr>
        <w:numPr>
          <w:numId w:val="0"/>
        </w:numPr>
        <w:jc w:val="left"/>
        <w:rPr>
          <w:rFonts w:hint="eastAsia"/>
        </w:rPr>
      </w:pPr>
    </w:p>
    <w:p>
      <w:pPr>
        <w:numPr>
          <w:numId w:val="0"/>
        </w:numPr>
        <w:jc w:val="left"/>
        <w:rPr>
          <w:rFonts w:hint="eastAsia"/>
        </w:rPr>
      </w:pPr>
      <w:r>
        <w:rPr>
          <w:rFonts w:hint="eastAsia"/>
        </w:rPr>
        <w:t>以教育部、原卫生部和中国残疾人联合会印发的《普通高等学校招生体检工作指导意见》（教学〔2003〕3号）及有关补充规定执行。</w:t>
      </w:r>
    </w:p>
    <w:p>
      <w:pPr>
        <w:numPr>
          <w:numId w:val="0"/>
        </w:numPr>
        <w:jc w:val="left"/>
        <w:rPr>
          <w:rFonts w:hint="eastAsia"/>
        </w:rPr>
      </w:pPr>
    </w:p>
    <w:p>
      <w:pPr>
        <w:numPr>
          <w:numId w:val="0"/>
        </w:numPr>
        <w:jc w:val="left"/>
        <w:rPr>
          <w:rFonts w:hint="eastAsia"/>
        </w:rPr>
      </w:pPr>
    </w:p>
    <w:p>
      <w:pPr>
        <w:numPr>
          <w:numId w:val="0"/>
        </w:numPr>
        <w:jc w:val="left"/>
        <w:rPr>
          <w:rFonts w:hint="eastAsia"/>
        </w:rPr>
      </w:pPr>
      <w:r>
        <w:rPr>
          <w:rFonts w:hint="eastAsia"/>
        </w:rPr>
        <w:t>十、报名方式与时间</w:t>
      </w:r>
    </w:p>
    <w:p>
      <w:pPr>
        <w:numPr>
          <w:numId w:val="0"/>
        </w:numPr>
        <w:jc w:val="left"/>
        <w:rPr>
          <w:rFonts w:hint="eastAsia"/>
        </w:rPr>
      </w:pPr>
      <w:r>
        <w:rPr>
          <w:rFonts w:hint="eastAsia"/>
        </w:rPr>
        <w:t>1．网上报名并下载报名表</w:t>
      </w:r>
    </w:p>
    <w:p>
      <w:pPr>
        <w:numPr>
          <w:numId w:val="0"/>
        </w:numPr>
        <w:jc w:val="left"/>
        <w:rPr>
          <w:rFonts w:hint="eastAsia"/>
        </w:rPr>
      </w:pPr>
      <w:r>
        <w:rPr>
          <w:rFonts w:hint="eastAsia"/>
        </w:rPr>
        <w:t>请于3月1日上午9:00至3月31日晚上12:00登陆我校报名网站（http://zsb.sspu.edu.cn/）报名，按要求填写并下载《上海第二工业大学2022年招收台湾地区本科生报名表》。(网上报名具体操作：登录学校招生网站首页—＞点击快速通道的“网上报名”-＞点击“台湾学测网上报名系统”进行网上报名)</w:t>
      </w:r>
    </w:p>
    <w:p>
      <w:pPr>
        <w:numPr>
          <w:numId w:val="0"/>
        </w:numPr>
        <w:jc w:val="left"/>
        <w:rPr>
          <w:rFonts w:hint="eastAsia"/>
        </w:rPr>
      </w:pPr>
    </w:p>
    <w:p>
      <w:pPr>
        <w:numPr>
          <w:numId w:val="0"/>
        </w:numPr>
        <w:jc w:val="left"/>
        <w:rPr>
          <w:rFonts w:hint="eastAsia"/>
        </w:rPr>
      </w:pPr>
      <w:r>
        <w:rPr>
          <w:rFonts w:hint="eastAsia"/>
        </w:rPr>
        <w:t>2．提交报名材料</w:t>
      </w:r>
    </w:p>
    <w:p>
      <w:pPr>
        <w:numPr>
          <w:numId w:val="0"/>
        </w:numPr>
        <w:jc w:val="left"/>
        <w:rPr>
          <w:rFonts w:hint="eastAsia"/>
        </w:rPr>
      </w:pPr>
      <w:r>
        <w:rPr>
          <w:rFonts w:hint="eastAsia"/>
        </w:rPr>
        <w:t>请将网上下载的《上海第二工业大学2022年招收台湾地区本科生报名表》、台湾居民居住证复印件或《台湾居民来往大陆通行证》复印件及在台湾居住的有效身份证明、台湾地区入学考试学科能力测验（即学测）成绩单复印件（含报名序号）、个人成绩查询授权委托书（下载链接详见章程尾部）、个人推荐信以及各类获奖证书于4月10日之前用快递邮寄至上海第二工业大学招生办公室（以寄出地邮戳为准），请在信封上注明“台湾学生申请”字样。</w:t>
      </w:r>
    </w:p>
    <w:p>
      <w:pPr>
        <w:numPr>
          <w:numId w:val="0"/>
        </w:numPr>
        <w:jc w:val="left"/>
        <w:rPr>
          <w:rFonts w:hint="eastAsia"/>
        </w:rPr>
      </w:pPr>
    </w:p>
    <w:p>
      <w:pPr>
        <w:numPr>
          <w:numId w:val="0"/>
        </w:numPr>
        <w:jc w:val="left"/>
        <w:rPr>
          <w:rFonts w:hint="eastAsia"/>
        </w:rPr>
      </w:pPr>
      <w:r>
        <w:rPr>
          <w:rFonts w:hint="eastAsia"/>
        </w:rPr>
        <w:t>3．面试通知</w:t>
      </w:r>
    </w:p>
    <w:p>
      <w:pPr>
        <w:numPr>
          <w:numId w:val="0"/>
        </w:numPr>
        <w:jc w:val="left"/>
        <w:rPr>
          <w:rFonts w:hint="eastAsia"/>
        </w:rPr>
      </w:pPr>
      <w:r>
        <w:rPr>
          <w:rFonts w:hint="eastAsia"/>
        </w:rPr>
        <w:t>经初审入围面试的考生，我校将通过报名系统及电子邮件通知面试的具体事宜。</w:t>
      </w:r>
    </w:p>
    <w:p>
      <w:pPr>
        <w:numPr>
          <w:numId w:val="0"/>
        </w:numPr>
        <w:jc w:val="left"/>
        <w:rPr>
          <w:rFonts w:hint="eastAsia"/>
        </w:rPr>
      </w:pPr>
    </w:p>
    <w:p>
      <w:pPr>
        <w:numPr>
          <w:numId w:val="0"/>
        </w:numPr>
        <w:jc w:val="left"/>
        <w:rPr>
          <w:rFonts w:hint="eastAsia"/>
        </w:rPr>
      </w:pPr>
      <w:r>
        <w:rPr>
          <w:rFonts w:hint="eastAsia"/>
        </w:rPr>
        <w:t>十一、录取原则</w:t>
      </w:r>
    </w:p>
    <w:p>
      <w:pPr>
        <w:numPr>
          <w:numId w:val="0"/>
        </w:numPr>
        <w:jc w:val="left"/>
        <w:rPr>
          <w:rFonts w:hint="eastAsia"/>
        </w:rPr>
      </w:pPr>
    </w:p>
    <w:p>
      <w:pPr>
        <w:numPr>
          <w:numId w:val="0"/>
        </w:numPr>
        <w:jc w:val="left"/>
        <w:rPr>
          <w:rFonts w:hint="eastAsia"/>
        </w:rPr>
      </w:pPr>
      <w:r>
        <w:rPr>
          <w:rFonts w:hint="eastAsia"/>
        </w:rPr>
        <w:t>经我校面试合格后，上海第二工业大学根据学生面试成绩，综合测评、择优录取。预录取学生“学测”成绩经教育部考试中心确认后，我办将预录取名单报送中华人民共和国普通高等学校联合招收华侨港澳台学生办公室审核，审核合格后办理相关录取手续，并于2022年7月发出正式录取通知书。</w:t>
      </w:r>
    </w:p>
    <w:p>
      <w:pPr>
        <w:numPr>
          <w:numId w:val="0"/>
        </w:numPr>
        <w:jc w:val="left"/>
        <w:rPr>
          <w:rFonts w:hint="eastAsia"/>
        </w:rPr>
      </w:pPr>
    </w:p>
    <w:p>
      <w:pPr>
        <w:numPr>
          <w:numId w:val="0"/>
        </w:numPr>
        <w:jc w:val="left"/>
        <w:rPr>
          <w:rFonts w:hint="eastAsia"/>
        </w:rPr>
      </w:pPr>
      <w:r>
        <w:rPr>
          <w:rFonts w:hint="eastAsia"/>
        </w:rPr>
        <w:t>十二、联系方式</w:t>
      </w:r>
    </w:p>
    <w:p>
      <w:pPr>
        <w:numPr>
          <w:numId w:val="0"/>
        </w:numPr>
        <w:jc w:val="left"/>
        <w:rPr>
          <w:rFonts w:hint="eastAsia"/>
        </w:rPr>
      </w:pPr>
      <w:r>
        <w:rPr>
          <w:rFonts w:hint="eastAsia"/>
        </w:rPr>
        <w:t>联系电话：021-50217411  021-50214975(工作日8:00—16:00，双休日、节假日除外)</w:t>
      </w:r>
    </w:p>
    <w:p>
      <w:pPr>
        <w:numPr>
          <w:numId w:val="0"/>
        </w:numPr>
        <w:jc w:val="left"/>
        <w:rPr>
          <w:rFonts w:hint="eastAsia"/>
        </w:rPr>
      </w:pPr>
      <w:r>
        <w:rPr>
          <w:rFonts w:hint="eastAsia"/>
        </w:rPr>
        <w:t>材料邮寄地址：上海市浦东新区金海路2360号综合楼415室招生办公室</w:t>
      </w:r>
    </w:p>
    <w:p>
      <w:pPr>
        <w:numPr>
          <w:numId w:val="0"/>
        </w:numPr>
        <w:jc w:val="left"/>
        <w:rPr>
          <w:rFonts w:hint="eastAsia"/>
        </w:rPr>
      </w:pPr>
      <w:r>
        <w:rPr>
          <w:rFonts w:hint="eastAsia"/>
        </w:rPr>
        <w:t>邮政编码：201209</w:t>
      </w:r>
    </w:p>
    <w:p>
      <w:pPr>
        <w:numPr>
          <w:numId w:val="0"/>
        </w:numPr>
        <w:jc w:val="left"/>
        <w:rPr>
          <w:rFonts w:hint="eastAsia"/>
        </w:rPr>
      </w:pPr>
    </w:p>
    <w:p>
      <w:pPr>
        <w:numPr>
          <w:numId w:val="0"/>
        </w:numPr>
        <w:jc w:val="left"/>
        <w:rPr>
          <w:rFonts w:hint="eastAsia"/>
        </w:rPr>
      </w:pPr>
    </w:p>
    <w:p>
      <w:pPr>
        <w:numPr>
          <w:numId w:val="0"/>
        </w:numPr>
        <w:jc w:val="left"/>
        <w:rPr>
          <w:rFonts w:hint="eastAsia"/>
        </w:rPr>
      </w:pPr>
    </w:p>
    <w:p>
      <w:pPr>
        <w:numPr>
          <w:numId w:val="0"/>
        </w:numPr>
        <w:jc w:val="left"/>
        <w:rPr>
          <w:rFonts w:hint="eastAsia"/>
        </w:rPr>
      </w:pPr>
    </w:p>
    <w:p>
      <w:pPr>
        <w:numPr>
          <w:numId w:val="0"/>
        </w:numPr>
        <w:jc w:val="left"/>
        <w:rPr>
          <w:rFonts w:hint="eastAsia"/>
        </w:rPr>
      </w:pPr>
    </w:p>
    <w:p>
      <w:pPr>
        <w:numPr>
          <w:numId w:val="0"/>
        </w:numPr>
        <w:jc w:val="left"/>
        <w:rPr>
          <w:rFonts w:hint="eastAsia"/>
        </w:rPr>
      </w:pPr>
    </w:p>
    <w:p>
      <w:pPr>
        <w:numPr>
          <w:numId w:val="0"/>
        </w:numPr>
        <w:jc w:val="left"/>
        <w:rPr>
          <w:rFonts w:hint="eastAsia"/>
        </w:rPr>
      </w:pPr>
    </w:p>
    <w:p>
      <w:pPr>
        <w:numPr>
          <w:numId w:val="0"/>
        </w:numPr>
        <w:jc w:val="left"/>
        <w:rPr>
          <w:rFonts w:hint="eastAsia"/>
        </w:rPr>
      </w:pPr>
    </w:p>
    <w:p>
      <w:pPr>
        <w:numPr>
          <w:numId w:val="0"/>
        </w:numPr>
        <w:jc w:val="left"/>
        <w:rPr>
          <w:rFonts w:hint="eastAsia" w:eastAsiaTheme="minorEastAsia"/>
          <w:lang w:val="en-US" w:eastAsia="zh-CN"/>
        </w:rPr>
      </w:pPr>
      <w:r>
        <w:rPr>
          <w:rFonts w:hint="eastAsia"/>
          <w:lang w:val="en-US" w:eastAsia="zh-CN"/>
        </w:rPr>
        <w:t>網址：https://zsb.sspu.edu.cn/qsxx/gasqs/89559.htm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179017"/>
    <w:multiLevelType w:val="singleLevel"/>
    <w:tmpl w:val="1E179017"/>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2D592F"/>
    <w:rsid w:val="472D59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45</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2022-02-17T04:41:00Z</dcterms:created>
  <dc:creator>阿Co</dc:creator>
  <cp:lastModifiedBy>阿Co</cp:lastModifiedBy>
  <dcterms:modified xsi:type="dcterms:W3CDTF">2022-02-17T05:32:20Z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C34A374F0F134E9CBC08B6EB08F914EC</vt:lpwstr>
  </property>
</Properties>
</file>