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b w:val="0"/>
          <w:bCs/>
          <w:i w:val="0"/>
          <w:caps w:val="0"/>
          <w:color w:val="141414"/>
          <w:spacing w:val="0"/>
          <w:sz w:val="20"/>
          <w:szCs w:val="20"/>
        </w:rPr>
      </w:pPr>
      <w:r>
        <w:rPr>
          <w:rFonts w:ascii="Microsoft YaHei" w:hAnsi="Microsoft YaHei" w:eastAsia="Microsoft YaHei" w:cs="Microsoft YaHei"/>
          <w:b w:val="0"/>
          <w:bCs/>
          <w:i w:val="0"/>
          <w:caps w:val="0"/>
          <w:color w:val="141414"/>
          <w:spacing w:val="0"/>
          <w:sz w:val="20"/>
          <w:szCs w:val="20"/>
        </w:rPr>
        <w:t>江南大学2021年依据台湾地区大学入学考试学科能力测试成绩招收台湾高中毕业生简章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一、申请条件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具有《台湾居民居住证》或《台湾居民来往大陆通行证》、以及在台湾居住的有效身份证明，参加当年学测的台湾高中毕业生，按照报考专业达到下列条件：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1、语文、数学、英文成绩达到前标级及以上。</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2、报考普通文史类专业的，须社会成绩达到前标级及以上。</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3、报考普通理工类专业的，须自然成绩达到前标级及以上。</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4、报考普通文理兼招类专业的，须社会或自然成绩达到前标级及以上。</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二、招生专业和人数</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申请人可在学校公布的招生专业目录（详见附件1）中选择一个专业作为志愿。招生人数将视申请人数和具体生源情况确定。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三、申请办法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申请人需提供以下材料：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1、《江南大学2021年招收台湾地区高中毕业生申请表》（见附件2，以下简称《申请表》，须按要求签字、盖章）；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2、《台湾居民居住证》复印件或《台湾居民来往大陆通行证》复印件、以及在台湾居住的有效身份证明复印件；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3、学测成绩通知单复印件（须由所在中学盖章）；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4、个人陈述（可包含个人兴趣爱好、大学学习生活设想、未来职业理想、选择江南大学理由等，800字以内，须由本人签名）；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5、其他能够体现申请人能力水平的相关证明材料复印件；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6、经本人签字或盖章的《个人成绩查询授权委托书》（见附件3）。</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请将以上6项材料按顺序扫描合并成一个PDF文档，文件务必完整、清晰，于2021年4月15日前以附件形式发送至江南大学招生就业处的电子邮箱：zhshb@jiangnan.edu.cn，文件名和邮件主题均为“2021年台湾地区高中毕业生申请材料-姓名”。无需邮寄纸质材料，录取报到时提供原件以备核验。此外，申请人请点击链接：江南大学2021年招收台湾地区高中毕业生基本信息表,如实登记填写基本报名信息。</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四、选拔方式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学校将对申请材料进行初审，初审结果另行通知。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审核通过者进入面试环节，面试将采用</w:t>
      </w:r>
      <w:bookmarkStart w:id="0" w:name="_GoBack"/>
      <w:r>
        <w:rPr>
          <w:rFonts w:hint="eastAsia" w:ascii="Microsoft YaHei" w:hAnsi="Microsoft YaHei" w:eastAsia="Microsoft YaHei" w:cs="Microsoft YaHei"/>
          <w:b w:val="0"/>
          <w:bCs/>
          <w:i w:val="0"/>
          <w:caps w:val="0"/>
          <w:color w:val="141414"/>
          <w:spacing w:val="0"/>
          <w:sz w:val="20"/>
          <w:szCs w:val="20"/>
        </w:rPr>
        <w:t>远程视频</w:t>
      </w:r>
      <w:bookmarkEnd w:id="0"/>
      <w:r>
        <w:rPr>
          <w:rFonts w:hint="eastAsia" w:ascii="Microsoft YaHei" w:hAnsi="Microsoft YaHei" w:eastAsia="Microsoft YaHei" w:cs="Microsoft YaHei"/>
          <w:b w:val="0"/>
          <w:bCs/>
          <w:i w:val="0"/>
          <w:caps w:val="0"/>
          <w:color w:val="141414"/>
          <w:spacing w:val="0"/>
          <w:sz w:val="20"/>
          <w:szCs w:val="20"/>
        </w:rPr>
        <w:t>方式，具体时间和安排另行发布。</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五、录取办法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学校将根据申请人的学测成绩和面试情况择优录取。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录取名单经中华人民共和国普通高等学校联合招收华侨港澳台学生办公室审核批准后，学校将于2021年7月发放录取通知书。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六、学费和住宿费用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台湾学生的学费、住宿费与大陆学生相同，住宿费根据住宿条件收取，与大陆学生住在一起。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七、联系方式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本科招生电话：86-510-85915666 传真号码：86-510-85913570</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通讯地址：江苏省无锡市蠡湖大道1800号江南大学招生就业处 邮政编码：214122</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江南大学本科招生网：http://admission.jiangnan.edu.cn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官方微信公众号：江南大学招生就业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八、其他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（一）其他未尽事宜参照教育部、中华人民共和国普通高等学校联合招收华侨港澳台学生办公室相关规定及江南大学2021年本科招生章程执行。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numPr>
          <w:ilvl w:val="0"/>
          <w:numId w:val="1"/>
        </w:numPr>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41414"/>
          <w:spacing w:val="0"/>
          <w:sz w:val="20"/>
          <w:szCs w:val="20"/>
        </w:rPr>
      </w:pPr>
      <w:r>
        <w:rPr>
          <w:rFonts w:hint="eastAsia" w:ascii="Microsoft YaHei" w:hAnsi="Microsoft YaHei" w:eastAsia="Microsoft YaHei" w:cs="Microsoft YaHei"/>
          <w:b w:val="0"/>
          <w:bCs/>
          <w:i w:val="0"/>
          <w:caps w:val="0"/>
          <w:color w:val="141414"/>
          <w:spacing w:val="0"/>
          <w:sz w:val="20"/>
          <w:szCs w:val="20"/>
        </w:rPr>
        <w:t>本简章由江南大学招生就业处负责解释。</w:t>
      </w:r>
      <w:r>
        <w:rPr>
          <w:rFonts w:hint="eastAsia" w:ascii="Microsoft YaHei" w:hAnsi="Microsoft YaHei" w:eastAsia="Microsoft YaHei" w:cs="Microsoft YaHei"/>
          <w:b w:val="0"/>
          <w:bCs/>
          <w:i w:val="0"/>
          <w:caps w:val="0"/>
          <w:color w:val="141414"/>
          <w:spacing w:val="0"/>
          <w:sz w:val="20"/>
          <w:szCs w:val="20"/>
        </w:rPr>
        <w:br w:type="textWrapping"/>
      </w:r>
    </w:p>
    <w:p>
      <w:pPr>
        <w:keepNext w:val="0"/>
        <w:keepLines w:val="0"/>
        <w:pageBreakBefore w:val="0"/>
        <w:widowControl w:val="0"/>
        <w:numPr>
          <w:numId w:val="0"/>
        </w:numPr>
        <w:kinsoku/>
        <w:wordWrap/>
        <w:overflowPunct/>
        <w:topLinePunct w:val="0"/>
        <w:autoSpaceDE/>
        <w:autoSpaceDN/>
        <w:bidi w:val="0"/>
        <w:adjustRightInd/>
        <w:snapToGrid w:val="0"/>
        <w:jc w:val="both"/>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numPr>
          <w:numId w:val="0"/>
        </w:numPr>
        <w:kinsoku/>
        <w:wordWrap/>
        <w:overflowPunct/>
        <w:topLinePunct w:val="0"/>
        <w:autoSpaceDE/>
        <w:autoSpaceDN/>
        <w:bidi w:val="0"/>
        <w:adjustRightInd/>
        <w:snapToGrid w:val="0"/>
        <w:jc w:val="both"/>
        <w:textAlignment w:val="auto"/>
        <w:rPr>
          <w:rFonts w:hint="eastAsia" w:ascii="Microsoft YaHei" w:hAnsi="Microsoft YaHei" w:eastAsia="Microsoft YaHei" w:cs="Microsoft YaHei"/>
          <w:b w:val="0"/>
          <w:bCs/>
          <w:i w:val="0"/>
          <w:caps w:val="0"/>
          <w:color w:val="141414"/>
          <w:spacing w:val="0"/>
          <w:sz w:val="20"/>
          <w:szCs w:val="20"/>
        </w:rPr>
      </w:pPr>
    </w:p>
    <w:p>
      <w:pPr>
        <w:keepNext w:val="0"/>
        <w:keepLines w:val="0"/>
        <w:pageBreakBefore w:val="0"/>
        <w:widowControl w:val="0"/>
        <w:numPr>
          <w:numId w:val="0"/>
        </w:numPr>
        <w:kinsoku/>
        <w:wordWrap/>
        <w:overflowPunct/>
        <w:topLinePunct w:val="0"/>
        <w:autoSpaceDE/>
        <w:autoSpaceDN/>
        <w:bidi w:val="0"/>
        <w:adjustRightInd/>
        <w:snapToGrid w:val="0"/>
        <w:jc w:val="both"/>
        <w:textAlignment w:val="auto"/>
        <w:rPr>
          <w:rFonts w:hint="eastAsia" w:ascii="Microsoft YaHei" w:hAnsi="Microsoft YaHei" w:eastAsia="Microsoft YaHei" w:cs="Microsoft YaHei"/>
          <w:b w:val="0"/>
          <w:bCs/>
          <w:i w:val="0"/>
          <w:caps w:val="0"/>
          <w:color w:val="141414"/>
          <w:spacing w:val="0"/>
          <w:sz w:val="20"/>
          <w:szCs w:val="20"/>
          <w:lang w:val="en-US" w:eastAsia="zh-CN"/>
        </w:rPr>
      </w:pPr>
      <w:r>
        <w:rPr>
          <w:rFonts w:hint="eastAsia" w:ascii="Microsoft YaHei" w:hAnsi="Microsoft YaHei" w:eastAsia="Microsoft YaHei" w:cs="Microsoft YaHei"/>
          <w:b w:val="0"/>
          <w:bCs/>
          <w:i w:val="0"/>
          <w:caps w:val="0"/>
          <w:color w:val="141414"/>
          <w:spacing w:val="0"/>
          <w:sz w:val="20"/>
          <w:szCs w:val="20"/>
          <w:lang w:val="en-US" w:eastAsia="zh-CN"/>
        </w:rPr>
        <w:t>网址：https://admission.jiangnan.edu.cn/info/1012/2295.htm</w:t>
      </w:r>
    </w:p>
    <w:sectPr>
      <w:pgSz w:w="11906" w:h="16838"/>
      <w:pgMar w:top="1440" w:right="1066" w:bottom="1440"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370411"/>
    <w:multiLevelType w:val="singleLevel"/>
    <w:tmpl w:val="CF37041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C924D6"/>
    <w:rsid w:val="2287698A"/>
    <w:rsid w:val="2CC924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2021-02-16T15:30:00Z</dcterms:created>
  <dc:creator>阿Co</dc:creator>
  <cp:lastModifiedBy>阿Co</cp:lastModifiedBy>
  <dcterms:modified xsi:type="dcterms:W3CDTF">2021-02-16T15:33:47Z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