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SimSun" w:hAnsi="SimSun" w:eastAsia="SimSun" w:cs="SimSun"/>
          <w:b/>
          <w:i w:val="0"/>
          <w:caps w:val="0"/>
          <w:color w:val="000000"/>
          <w:spacing w:val="0"/>
          <w:sz w:val="16"/>
          <w:szCs w:val="16"/>
        </w:rPr>
      </w:pPr>
      <w:r>
        <w:rPr>
          <w:rFonts w:hint="eastAsia" w:ascii="SimSun" w:hAnsi="SimSun" w:eastAsia="SimSun" w:cs="SimSun"/>
          <w:b/>
          <w:i w:val="0"/>
          <w:caps w:val="0"/>
          <w:color w:val="000000"/>
          <w:spacing w:val="0"/>
          <w:sz w:val="16"/>
          <w:szCs w:val="16"/>
        </w:rPr>
        <w:t>天津音乐学院2021年依据学测成绩招收台湾高中毕业生简章</w:t>
      </w:r>
    </w:p>
    <w:p>
      <w:pPr>
        <w:rPr>
          <w:rFonts w:hint="eastAsia" w:ascii="SimSun" w:hAnsi="SimSun" w:eastAsia="SimSun" w:cs="SimSun"/>
          <w:b/>
          <w:i w:val="0"/>
          <w:caps w:val="0"/>
          <w:color w:val="000000"/>
          <w:spacing w:val="0"/>
          <w:sz w:val="16"/>
          <w:szCs w:val="16"/>
        </w:rPr>
      </w:pPr>
    </w:p>
    <w:p>
      <w:pPr>
        <w:rPr>
          <w:rFonts w:hint="eastAsia" w:ascii="SimSun" w:hAnsi="SimSun" w:eastAsia="SimSun" w:cs="SimSun"/>
          <w:b/>
          <w:i w:val="0"/>
          <w:caps w:val="0"/>
          <w:color w:val="000000"/>
          <w:spacing w:val="0"/>
          <w:sz w:val="16"/>
          <w:szCs w:val="16"/>
        </w:rPr>
      </w:pPr>
      <w:r>
        <w:rPr>
          <w:rFonts w:hint="eastAsia" w:ascii="SimSun" w:hAnsi="SimSun" w:eastAsia="SimSun" w:cs="SimSun"/>
          <w:b/>
          <w:i w:val="0"/>
          <w:caps w:val="0"/>
          <w:color w:val="000000"/>
          <w:spacing w:val="0"/>
          <w:sz w:val="16"/>
          <w:szCs w:val="16"/>
        </w:rPr>
        <w:t>一、招生人数和专业</w:t>
      </w:r>
    </w:p>
    <w:p>
      <w:pPr>
        <w:rPr>
          <w:rFonts w:hint="eastAsia" w:ascii="SimSun" w:hAnsi="SimSun" w:eastAsia="SimSun" w:cs="SimSun"/>
          <w:b/>
          <w:i w:val="0"/>
          <w:caps w:val="0"/>
          <w:color w:val="000000"/>
          <w:spacing w:val="0"/>
          <w:sz w:val="16"/>
          <w:szCs w:val="16"/>
        </w:rPr>
      </w:pPr>
      <w:r>
        <w:rPr>
          <w:rFonts w:hint="eastAsia" w:ascii="SimSun" w:hAnsi="SimSun" w:eastAsia="SimSun" w:cs="SimSun"/>
          <w:b/>
          <w:i w:val="0"/>
          <w:caps w:val="0"/>
          <w:color w:val="000000"/>
          <w:spacing w:val="0"/>
          <w:sz w:val="16"/>
          <w:szCs w:val="16"/>
        </w:rPr>
        <w:t>1．2021年我校确认录取人数将视申请情况确定</w:t>
      </w:r>
    </w:p>
    <w:p>
      <w:pPr>
        <w:numPr>
          <w:ilvl w:val="0"/>
          <w:numId w:val="1"/>
        </w:numPr>
        <w:rPr>
          <w:rFonts w:hint="eastAsia" w:ascii="SimSun" w:hAnsi="SimSun" w:eastAsia="SimSun" w:cs="SimSun"/>
          <w:b/>
          <w:i w:val="0"/>
          <w:caps w:val="0"/>
          <w:color w:val="000000"/>
          <w:spacing w:val="0"/>
          <w:sz w:val="16"/>
          <w:szCs w:val="16"/>
        </w:rPr>
      </w:pPr>
      <w:r>
        <w:rPr>
          <w:rFonts w:hint="eastAsia" w:ascii="SimSun" w:hAnsi="SimSun" w:eastAsia="SimSun" w:cs="SimSun"/>
          <w:b/>
          <w:i w:val="0"/>
          <w:caps w:val="0"/>
          <w:color w:val="000000"/>
          <w:spacing w:val="0"/>
          <w:sz w:val="16"/>
          <w:szCs w:val="16"/>
        </w:rPr>
        <w:t>招生专业、学制</w:t>
      </w:r>
    </w:p>
    <w:p>
      <w:pPr>
        <w:numPr>
          <w:numId w:val="0"/>
        </w:numPr>
      </w:pPr>
      <w:r>
        <w:drawing>
          <wp:inline distT="0" distB="0" distL="114300" distR="114300">
            <wp:extent cx="5272405" cy="2934335"/>
            <wp:effectExtent l="0" t="0" r="10795"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2405" cy="2934335"/>
                    </a:xfrm>
                    <a:prstGeom prst="rect">
                      <a:avLst/>
                    </a:prstGeom>
                    <a:noFill/>
                    <a:ln>
                      <a:noFill/>
                    </a:ln>
                  </pic:spPr>
                </pic:pic>
              </a:graphicData>
            </a:graphic>
          </wp:inline>
        </w:drawing>
      </w:r>
      <w:r>
        <w:drawing>
          <wp:inline distT="0" distB="0" distL="114300" distR="114300">
            <wp:extent cx="5251450" cy="4546600"/>
            <wp:effectExtent l="0" t="0" r="635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51450" cy="4546600"/>
                    </a:xfrm>
                    <a:prstGeom prst="rect">
                      <a:avLst/>
                    </a:prstGeom>
                    <a:noFill/>
                    <a:ln>
                      <a:noFill/>
                    </a:ln>
                  </pic:spPr>
                </pic:pic>
              </a:graphicData>
            </a:graphic>
          </wp:inline>
        </w:drawing>
      </w:r>
      <w:r>
        <w:drawing>
          <wp:inline distT="0" distB="0" distL="114300" distR="114300">
            <wp:extent cx="5270500" cy="51689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270500" cy="5168900"/>
                    </a:xfrm>
                    <a:prstGeom prst="rect">
                      <a:avLst/>
                    </a:prstGeom>
                    <a:noFill/>
                    <a:ln>
                      <a:noFill/>
                    </a:ln>
                  </pic:spPr>
                </pic:pic>
              </a:graphicData>
            </a:graphic>
          </wp:inline>
        </w:drawing>
      </w:r>
      <w:r>
        <w:drawing>
          <wp:inline distT="0" distB="0" distL="114300" distR="114300">
            <wp:extent cx="5271135" cy="5107305"/>
            <wp:effectExtent l="0" t="0" r="12065" b="1079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7"/>
                    <a:stretch>
                      <a:fillRect/>
                    </a:stretch>
                  </pic:blipFill>
                  <pic:spPr>
                    <a:xfrm>
                      <a:off x="0" y="0"/>
                      <a:ext cx="5271135" cy="5107305"/>
                    </a:xfrm>
                    <a:prstGeom prst="rect">
                      <a:avLst/>
                    </a:prstGeom>
                    <a:noFill/>
                    <a:ln>
                      <a:noFill/>
                    </a:ln>
                  </pic:spPr>
                </pic:pic>
              </a:graphicData>
            </a:graphic>
          </wp:inline>
        </w:drawing>
      </w:r>
      <w:r>
        <w:drawing>
          <wp:inline distT="0" distB="0" distL="114300" distR="114300">
            <wp:extent cx="5269865" cy="2578735"/>
            <wp:effectExtent l="0" t="0" r="635" b="1206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8"/>
                    <a:stretch>
                      <a:fillRect/>
                    </a:stretch>
                  </pic:blipFill>
                  <pic:spPr>
                    <a:xfrm>
                      <a:off x="0" y="0"/>
                      <a:ext cx="5269865" cy="2578735"/>
                    </a:xfrm>
                    <a:prstGeom prst="rect">
                      <a:avLst/>
                    </a:prstGeom>
                    <a:noFill/>
                    <a:ln>
                      <a:noFill/>
                    </a:ln>
                  </pic:spPr>
                </pic:pic>
              </a:graphicData>
            </a:graphic>
          </wp:inline>
        </w:drawing>
      </w:r>
      <w:r>
        <w:drawing>
          <wp:inline distT="0" distB="0" distL="114300" distR="114300">
            <wp:extent cx="5272405" cy="5688330"/>
            <wp:effectExtent l="0" t="0" r="10795" b="127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9"/>
                    <a:stretch>
                      <a:fillRect/>
                    </a:stretch>
                  </pic:blipFill>
                  <pic:spPr>
                    <a:xfrm>
                      <a:off x="0" y="0"/>
                      <a:ext cx="5272405" cy="5688330"/>
                    </a:xfrm>
                    <a:prstGeom prst="rect">
                      <a:avLst/>
                    </a:prstGeom>
                    <a:noFill/>
                    <a:ln>
                      <a:noFill/>
                    </a:ln>
                  </pic:spPr>
                </pic:pic>
              </a:graphicData>
            </a:graphic>
          </wp:inline>
        </w:drawing>
      </w:r>
      <w:r>
        <w:drawing>
          <wp:inline distT="0" distB="0" distL="114300" distR="114300">
            <wp:extent cx="5271770" cy="1256030"/>
            <wp:effectExtent l="0" t="0" r="11430" b="127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0"/>
                    <a:stretch>
                      <a:fillRect/>
                    </a:stretch>
                  </pic:blipFill>
                  <pic:spPr>
                    <a:xfrm>
                      <a:off x="0" y="0"/>
                      <a:ext cx="5271770" cy="1256030"/>
                    </a:xfrm>
                    <a:prstGeom prst="rect">
                      <a:avLst/>
                    </a:prstGeom>
                    <a:noFill/>
                    <a:ln>
                      <a:noFill/>
                    </a:ln>
                  </pic:spPr>
                </pic:pic>
              </a:graphicData>
            </a:graphic>
          </wp:inline>
        </w:drawing>
      </w:r>
      <w:r>
        <w:drawing>
          <wp:inline distT="0" distB="0" distL="114300" distR="114300">
            <wp:extent cx="5274310" cy="1891665"/>
            <wp:effectExtent l="0" t="0" r="8890" b="63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1"/>
                    <a:stretch>
                      <a:fillRect/>
                    </a:stretch>
                  </pic:blipFill>
                  <pic:spPr>
                    <a:xfrm>
                      <a:off x="0" y="0"/>
                      <a:ext cx="5274310" cy="1891665"/>
                    </a:xfrm>
                    <a:prstGeom prst="rect">
                      <a:avLst/>
                    </a:prstGeom>
                    <a:noFill/>
                    <a:ln>
                      <a:noFill/>
                    </a:ln>
                  </pic:spPr>
                </pic:pic>
              </a:graphicData>
            </a:graphic>
          </wp:inline>
        </w:drawing>
      </w:r>
      <w:r>
        <w:drawing>
          <wp:inline distT="0" distB="0" distL="114300" distR="114300">
            <wp:extent cx="5273675" cy="5273675"/>
            <wp:effectExtent l="0" t="0" r="9525" b="952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2"/>
                    <a:stretch>
                      <a:fillRect/>
                    </a:stretch>
                  </pic:blipFill>
                  <pic:spPr>
                    <a:xfrm>
                      <a:off x="0" y="0"/>
                      <a:ext cx="5273675" cy="5273675"/>
                    </a:xfrm>
                    <a:prstGeom prst="rect">
                      <a:avLst/>
                    </a:prstGeom>
                    <a:noFill/>
                    <a:ln>
                      <a:noFill/>
                    </a:ln>
                  </pic:spPr>
                </pic:pic>
              </a:graphicData>
            </a:graphic>
          </wp:inline>
        </w:drawing>
      </w:r>
      <w:r>
        <w:drawing>
          <wp:inline distT="0" distB="0" distL="114300" distR="114300">
            <wp:extent cx="5271135" cy="677545"/>
            <wp:effectExtent l="0" t="0" r="12065" b="825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3"/>
                    <a:stretch>
                      <a:fillRect/>
                    </a:stretch>
                  </pic:blipFill>
                  <pic:spPr>
                    <a:xfrm>
                      <a:off x="0" y="0"/>
                      <a:ext cx="5271135" cy="677545"/>
                    </a:xfrm>
                    <a:prstGeom prst="rect">
                      <a:avLst/>
                    </a:prstGeom>
                    <a:noFill/>
                    <a:ln>
                      <a:noFill/>
                    </a:ln>
                  </pic:spPr>
                </pic:pic>
              </a:graphicData>
            </a:graphic>
          </wp:inline>
        </w:drawing>
      </w:r>
      <w:r>
        <w:drawing>
          <wp:inline distT="0" distB="0" distL="114300" distR="114300">
            <wp:extent cx="5274310" cy="3199765"/>
            <wp:effectExtent l="0" t="0" r="8890" b="63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4"/>
                    <a:stretch>
                      <a:fillRect/>
                    </a:stretch>
                  </pic:blipFill>
                  <pic:spPr>
                    <a:xfrm>
                      <a:off x="0" y="0"/>
                      <a:ext cx="5274310" cy="3199765"/>
                    </a:xfrm>
                    <a:prstGeom prst="rect">
                      <a:avLst/>
                    </a:prstGeom>
                    <a:noFill/>
                    <a:ln>
                      <a:noFill/>
                    </a:ln>
                  </pic:spPr>
                </pic:pic>
              </a:graphicData>
            </a:graphic>
          </wp:inline>
        </w:drawing>
      </w:r>
    </w:p>
    <w:p>
      <w:pPr>
        <w:numPr>
          <w:numId w:val="0"/>
        </w:numPr>
        <w:rPr>
          <w:rFonts w:hint="eastAsia"/>
          <w:lang w:val="en-US" w:eastAsia="zh-CN"/>
        </w:rPr>
      </w:pPr>
      <w:r>
        <w:rPr>
          <w:rFonts w:hint="eastAsia"/>
          <w:lang w:val="en-US" w:eastAsia="zh-CN"/>
        </w:rPr>
        <w:t>二、申请条件</w:t>
      </w:r>
    </w:p>
    <w:p>
      <w:pPr>
        <w:numPr>
          <w:numId w:val="0"/>
        </w:numPr>
        <w:rPr>
          <w:rFonts w:hint="eastAsia"/>
          <w:lang w:val="en-US" w:eastAsia="zh-CN"/>
        </w:rPr>
      </w:pPr>
    </w:p>
    <w:p>
      <w:pPr>
        <w:numPr>
          <w:numId w:val="0"/>
        </w:numPr>
        <w:rPr>
          <w:rFonts w:hint="eastAsia"/>
          <w:lang w:val="en-US" w:eastAsia="zh-CN"/>
        </w:rPr>
      </w:pPr>
      <w:r>
        <w:rPr>
          <w:rFonts w:hint="eastAsia"/>
          <w:lang w:val="en-US" w:eastAsia="zh-CN"/>
        </w:rPr>
        <w:t xml:space="preserve">1．具有在台湾居民居住证或《台湾居民往来大陆通行证》及在台湾居住的有效身份证明；     </w:t>
      </w:r>
    </w:p>
    <w:p>
      <w:pPr>
        <w:numPr>
          <w:numId w:val="0"/>
        </w:numPr>
        <w:rPr>
          <w:rFonts w:hint="eastAsia"/>
          <w:lang w:val="en-US" w:eastAsia="zh-CN"/>
        </w:rPr>
      </w:pPr>
    </w:p>
    <w:p>
      <w:pPr>
        <w:numPr>
          <w:numId w:val="0"/>
        </w:numPr>
        <w:rPr>
          <w:rFonts w:hint="eastAsia"/>
          <w:lang w:val="en-US" w:eastAsia="zh-CN"/>
        </w:rPr>
      </w:pPr>
      <w:r>
        <w:rPr>
          <w:rFonts w:hint="eastAsia"/>
          <w:lang w:val="en-US" w:eastAsia="zh-CN"/>
        </w:rPr>
        <w:t xml:space="preserve">2．参加当年学测且在国文、英文考试科目成绩达到均标以上的台湾高中毕业生。     </w:t>
      </w:r>
    </w:p>
    <w:p>
      <w:pPr>
        <w:numPr>
          <w:numId w:val="0"/>
        </w:numPr>
        <w:rPr>
          <w:rFonts w:hint="eastAsia"/>
          <w:lang w:val="en-US" w:eastAsia="zh-CN"/>
        </w:rPr>
      </w:pPr>
    </w:p>
    <w:p>
      <w:pPr>
        <w:numPr>
          <w:numId w:val="0"/>
        </w:numPr>
        <w:rPr>
          <w:rFonts w:hint="eastAsia"/>
          <w:lang w:val="en-US" w:eastAsia="zh-CN"/>
        </w:rPr>
      </w:pPr>
      <w:r>
        <w:rPr>
          <w:rFonts w:hint="eastAsia"/>
          <w:lang w:val="en-US" w:eastAsia="zh-CN"/>
        </w:rPr>
        <w:t>三、申请时间与方式</w:t>
      </w:r>
    </w:p>
    <w:p>
      <w:pPr>
        <w:numPr>
          <w:numId w:val="0"/>
        </w:numPr>
        <w:rPr>
          <w:rFonts w:hint="eastAsia"/>
          <w:lang w:val="en-US" w:eastAsia="zh-CN"/>
        </w:rPr>
      </w:pPr>
    </w:p>
    <w:p>
      <w:pPr>
        <w:numPr>
          <w:numId w:val="0"/>
        </w:numPr>
        <w:rPr>
          <w:rFonts w:hint="eastAsia"/>
          <w:lang w:val="en-US" w:eastAsia="zh-CN"/>
        </w:rPr>
      </w:pPr>
      <w:r>
        <w:rPr>
          <w:rFonts w:hint="eastAsia"/>
          <w:lang w:val="en-US" w:eastAsia="zh-CN"/>
        </w:rPr>
        <w:t>1.报名及材料提交时间：2021年3月1日 –2021年3月31日止，过时不再受理</w:t>
      </w:r>
    </w:p>
    <w:p>
      <w:pPr>
        <w:numPr>
          <w:numId w:val="0"/>
        </w:numPr>
        <w:rPr>
          <w:rFonts w:hint="eastAsia"/>
          <w:lang w:val="en-US" w:eastAsia="zh-CN"/>
        </w:rPr>
      </w:pPr>
    </w:p>
    <w:p>
      <w:pPr>
        <w:numPr>
          <w:numId w:val="0"/>
        </w:numPr>
        <w:rPr>
          <w:rFonts w:hint="eastAsia"/>
          <w:lang w:val="en-US" w:eastAsia="zh-CN"/>
        </w:rPr>
      </w:pPr>
      <w:r>
        <w:rPr>
          <w:rFonts w:hint="eastAsia"/>
          <w:lang w:val="en-US" w:eastAsia="zh-CN"/>
        </w:rPr>
        <w:t>2.符合申请条件欲报考天津音乐学院的台湾学测生可直接向我校提出申请。申请者以电邮形式提交以下申请材料，邮件主题命名为“台湾学测生***”。同时，下述材料的书面材料请邮寄至天津音乐学院港澳台事务办公室（具体地址附后）</w:t>
      </w:r>
      <w:bookmarkStart w:id="0" w:name="_GoBack"/>
      <w:bookmarkEnd w:id="0"/>
      <w:r>
        <w:rPr>
          <w:rFonts w:hint="eastAsia"/>
          <w:lang w:val="en-US" w:eastAsia="zh-CN"/>
        </w:rPr>
        <w:t xml:space="preserve">，并在信封上注明“台湾高中毕业生***申请”字样。    </w:t>
      </w:r>
    </w:p>
    <w:p>
      <w:pPr>
        <w:numPr>
          <w:numId w:val="0"/>
        </w:numPr>
        <w:rPr>
          <w:rFonts w:hint="eastAsia"/>
          <w:lang w:val="en-US" w:eastAsia="zh-CN"/>
        </w:rPr>
      </w:pPr>
    </w:p>
    <w:p>
      <w:pPr>
        <w:numPr>
          <w:numId w:val="0"/>
        </w:numPr>
        <w:rPr>
          <w:rFonts w:hint="eastAsia"/>
          <w:lang w:val="en-US" w:eastAsia="zh-CN"/>
        </w:rPr>
      </w:pPr>
      <w:r>
        <w:rPr>
          <w:rFonts w:hint="eastAsia"/>
          <w:lang w:val="en-US" w:eastAsia="zh-CN"/>
        </w:rPr>
        <w:t xml:space="preserve">l申请表（见附件1）并附上本人手签；     </w:t>
      </w:r>
    </w:p>
    <w:p>
      <w:pPr>
        <w:numPr>
          <w:numId w:val="0"/>
        </w:numPr>
        <w:rPr>
          <w:rFonts w:hint="eastAsia"/>
          <w:lang w:val="en-US" w:eastAsia="zh-CN"/>
        </w:rPr>
      </w:pPr>
    </w:p>
    <w:p>
      <w:pPr>
        <w:numPr>
          <w:numId w:val="0"/>
        </w:numPr>
        <w:rPr>
          <w:rFonts w:hint="eastAsia"/>
          <w:lang w:val="en-US" w:eastAsia="zh-CN"/>
        </w:rPr>
      </w:pPr>
      <w:r>
        <w:rPr>
          <w:rFonts w:hint="eastAsia"/>
          <w:lang w:val="en-US" w:eastAsia="zh-CN"/>
        </w:rPr>
        <w:t xml:space="preserve">l台湾居民居住证或《台湾居民往来大陆通行证》及在台湾居住的有效身份证明；     </w:t>
      </w:r>
    </w:p>
    <w:p>
      <w:pPr>
        <w:numPr>
          <w:numId w:val="0"/>
        </w:numPr>
        <w:rPr>
          <w:rFonts w:hint="eastAsia"/>
          <w:lang w:val="en-US" w:eastAsia="zh-CN"/>
        </w:rPr>
      </w:pPr>
    </w:p>
    <w:p>
      <w:pPr>
        <w:numPr>
          <w:numId w:val="0"/>
        </w:numPr>
        <w:rPr>
          <w:rFonts w:hint="eastAsia"/>
          <w:lang w:val="en-US" w:eastAsia="zh-CN"/>
        </w:rPr>
      </w:pPr>
      <w:r>
        <w:rPr>
          <w:rFonts w:hint="eastAsia"/>
          <w:lang w:val="en-US" w:eastAsia="zh-CN"/>
        </w:rPr>
        <w:t xml:space="preserve">l本人当年度学测成绩单（必须包含学测报名序号或准考证号并加盖中学公章或经大学入学考试中心确认）    </w:t>
      </w:r>
    </w:p>
    <w:p>
      <w:pPr>
        <w:numPr>
          <w:numId w:val="0"/>
        </w:numPr>
        <w:rPr>
          <w:rFonts w:hint="eastAsia"/>
          <w:lang w:val="en-US" w:eastAsia="zh-CN"/>
        </w:rPr>
      </w:pPr>
    </w:p>
    <w:p>
      <w:pPr>
        <w:numPr>
          <w:numId w:val="0"/>
        </w:numPr>
        <w:rPr>
          <w:rFonts w:hint="eastAsia"/>
          <w:lang w:val="en-US" w:eastAsia="zh-CN"/>
        </w:rPr>
      </w:pPr>
      <w:r>
        <w:rPr>
          <w:rFonts w:hint="eastAsia"/>
          <w:lang w:val="en-US" w:eastAsia="zh-CN"/>
        </w:rPr>
        <w:t xml:space="preserve">l个人成绩查询授权委托书（见附件2）【委托书用作同意本校经由教育部考试中心向台湾大学入学考试中心查验、核准考生学科能力测试成绩等信息】     </w:t>
      </w:r>
    </w:p>
    <w:p>
      <w:pPr>
        <w:numPr>
          <w:numId w:val="0"/>
        </w:numPr>
        <w:rPr>
          <w:rFonts w:hint="eastAsia"/>
          <w:lang w:val="en-US" w:eastAsia="zh-CN"/>
        </w:rPr>
      </w:pPr>
    </w:p>
    <w:p>
      <w:pPr>
        <w:numPr>
          <w:numId w:val="0"/>
        </w:numPr>
        <w:rPr>
          <w:rFonts w:hint="eastAsia"/>
          <w:lang w:val="en-US" w:eastAsia="zh-CN"/>
        </w:rPr>
      </w:pPr>
      <w:r>
        <w:rPr>
          <w:rFonts w:hint="eastAsia"/>
          <w:lang w:val="en-US" w:eastAsia="zh-CN"/>
        </w:rPr>
        <w:t xml:space="preserve">l获奖证书及其他证明本人经历或能力的证明材料；     </w:t>
      </w:r>
    </w:p>
    <w:p>
      <w:pPr>
        <w:numPr>
          <w:numId w:val="0"/>
        </w:numPr>
        <w:rPr>
          <w:rFonts w:hint="eastAsia"/>
          <w:lang w:val="en-US" w:eastAsia="zh-CN"/>
        </w:rPr>
      </w:pPr>
    </w:p>
    <w:p>
      <w:pPr>
        <w:numPr>
          <w:numId w:val="0"/>
        </w:numPr>
        <w:rPr>
          <w:rFonts w:hint="eastAsia"/>
          <w:lang w:val="en-US" w:eastAsia="zh-CN"/>
        </w:rPr>
      </w:pPr>
      <w:r>
        <w:rPr>
          <w:rFonts w:hint="eastAsia"/>
          <w:lang w:val="en-US" w:eastAsia="zh-CN"/>
        </w:rPr>
        <w:t xml:space="preserve">l证件用标准照（正面免冠、白色背景、头像轮廓清晰）电子版，邮寄时需邮寄5张。    </w:t>
      </w:r>
    </w:p>
    <w:p>
      <w:pPr>
        <w:numPr>
          <w:numId w:val="0"/>
        </w:numPr>
        <w:rPr>
          <w:rFonts w:hint="eastAsia"/>
          <w:lang w:val="en-US" w:eastAsia="zh-CN"/>
        </w:rPr>
      </w:pPr>
    </w:p>
    <w:p>
      <w:pPr>
        <w:numPr>
          <w:numId w:val="0"/>
        </w:numPr>
        <w:rPr>
          <w:rFonts w:hint="eastAsia"/>
          <w:lang w:val="en-US" w:eastAsia="zh-CN"/>
        </w:rPr>
      </w:pPr>
      <w:r>
        <w:rPr>
          <w:rFonts w:hint="eastAsia"/>
          <w:lang w:val="en-US" w:eastAsia="zh-CN"/>
        </w:rPr>
        <w:t xml:space="preserve">l按要求录制的视频。此项无需邮寄。    </w:t>
      </w:r>
    </w:p>
    <w:p>
      <w:pPr>
        <w:numPr>
          <w:numId w:val="0"/>
        </w:numPr>
        <w:rPr>
          <w:rFonts w:hint="eastAsia"/>
          <w:lang w:val="en-US" w:eastAsia="zh-CN"/>
        </w:rPr>
      </w:pPr>
    </w:p>
    <w:p>
      <w:pPr>
        <w:numPr>
          <w:numId w:val="0"/>
        </w:numPr>
        <w:rPr>
          <w:rFonts w:hint="eastAsia"/>
          <w:lang w:val="en-US" w:eastAsia="zh-CN"/>
        </w:rPr>
      </w:pPr>
      <w:r>
        <w:rPr>
          <w:rFonts w:hint="eastAsia"/>
          <w:lang w:val="en-US" w:eastAsia="zh-CN"/>
        </w:rPr>
        <w:t>3.考试形式：视频面试。考生上传视频至指定邮箱，我院将对符合要求的视频进行遴选。</w:t>
      </w:r>
    </w:p>
    <w:p>
      <w:pPr>
        <w:numPr>
          <w:numId w:val="0"/>
        </w:numPr>
        <w:rPr>
          <w:rFonts w:hint="eastAsia"/>
          <w:lang w:val="en-US" w:eastAsia="zh-CN"/>
        </w:rPr>
      </w:pPr>
    </w:p>
    <w:p>
      <w:pPr>
        <w:numPr>
          <w:numId w:val="0"/>
        </w:numPr>
        <w:rPr>
          <w:rFonts w:hint="eastAsia"/>
          <w:lang w:val="en-US" w:eastAsia="zh-CN"/>
        </w:rPr>
      </w:pPr>
      <w:r>
        <w:rPr>
          <w:rFonts w:hint="eastAsia"/>
          <w:lang w:val="en-US" w:eastAsia="zh-CN"/>
        </w:rPr>
        <w:t>视频具体要求如下：</w:t>
      </w:r>
    </w:p>
    <w:p>
      <w:pPr>
        <w:numPr>
          <w:numId w:val="0"/>
        </w:numPr>
        <w:rPr>
          <w:rFonts w:hint="eastAsia"/>
          <w:lang w:val="en-US" w:eastAsia="zh-CN"/>
        </w:rPr>
      </w:pPr>
    </w:p>
    <w:p>
      <w:pPr>
        <w:numPr>
          <w:numId w:val="0"/>
        </w:numPr>
        <w:rPr>
          <w:rFonts w:hint="eastAsia"/>
          <w:lang w:val="en-US" w:eastAsia="zh-CN"/>
        </w:rPr>
      </w:pPr>
      <w:r>
        <w:rPr>
          <w:rFonts w:hint="eastAsia"/>
          <w:lang w:val="en-US" w:eastAsia="zh-CN"/>
        </w:rPr>
        <w:t>① 视频内容为：两段视频。1.考生个人陈述：自我介绍需体现姓名、年龄、预报考专业等基本信息，戏剧影视表演、舞蹈专业需体现身高、体重等信息，时长1分钟--2分钟，不得过短或超时。2.专业视频：所有考生需参照我院官网天津音乐学院2021年本科生招生简章中规定的考试内容要求录制视频。注：音乐学理论、作曲及电子音乐、音乐录音专业，只需提交面试视频要求部分，笔试部分另行加试，具体要求另行通知。</w:t>
      </w:r>
    </w:p>
    <w:p>
      <w:pPr>
        <w:numPr>
          <w:numId w:val="0"/>
        </w:numPr>
        <w:rPr>
          <w:rFonts w:hint="eastAsia"/>
          <w:lang w:val="en-US" w:eastAsia="zh-CN"/>
        </w:rPr>
      </w:pPr>
    </w:p>
    <w:p>
      <w:pPr>
        <w:numPr>
          <w:numId w:val="0"/>
        </w:numPr>
        <w:rPr>
          <w:rFonts w:hint="eastAsia"/>
          <w:lang w:val="en-US" w:eastAsia="zh-CN"/>
        </w:rPr>
      </w:pPr>
      <w:r>
        <w:rPr>
          <w:rFonts w:hint="eastAsia"/>
          <w:lang w:val="en-US" w:eastAsia="zh-CN"/>
        </w:rPr>
        <w:t xml:space="preserve">② 视频中只能出现考生一人的形象，不得出现其他信息或标识（如提示性文字、图案、声音等）。    </w:t>
      </w:r>
    </w:p>
    <w:p>
      <w:pPr>
        <w:numPr>
          <w:numId w:val="0"/>
        </w:numPr>
        <w:rPr>
          <w:rFonts w:hint="eastAsia"/>
          <w:lang w:val="en-US" w:eastAsia="zh-CN"/>
        </w:rPr>
      </w:pPr>
    </w:p>
    <w:p>
      <w:pPr>
        <w:numPr>
          <w:numId w:val="0"/>
        </w:numPr>
        <w:rPr>
          <w:rFonts w:hint="eastAsia"/>
          <w:lang w:val="en-US" w:eastAsia="zh-CN"/>
        </w:rPr>
      </w:pPr>
      <w:r>
        <w:rPr>
          <w:rFonts w:hint="eastAsia"/>
          <w:lang w:val="en-US" w:eastAsia="zh-CN"/>
        </w:rPr>
        <w:t xml:space="preserve">③ 采用一个长镜头全景定点形式横屏录制，保持镜头稳定，清晰展现考生全貌，录制过程中不得中断、转切画面，不得使用麦克风，不得连接任何外置设备。    </w:t>
      </w:r>
    </w:p>
    <w:p>
      <w:pPr>
        <w:numPr>
          <w:numId w:val="0"/>
        </w:numPr>
        <w:rPr>
          <w:rFonts w:hint="eastAsia"/>
          <w:lang w:val="en-US" w:eastAsia="zh-CN"/>
        </w:rPr>
      </w:pPr>
    </w:p>
    <w:p>
      <w:pPr>
        <w:numPr>
          <w:numId w:val="0"/>
        </w:numPr>
        <w:rPr>
          <w:rFonts w:hint="eastAsia"/>
          <w:lang w:val="en-US" w:eastAsia="zh-CN"/>
        </w:rPr>
      </w:pPr>
      <w:r>
        <w:rPr>
          <w:rFonts w:hint="eastAsia"/>
          <w:lang w:val="en-US" w:eastAsia="zh-CN"/>
        </w:rPr>
        <w:t xml:space="preserve">④ 视频上传：视频分辨率不低于720P，格式为：MP4，考生在报名规定时间内仅可上传一次视频，提醒考生使用Windows Media Player播放器查看视频是否可以正常播放后再进行上传。    </w:t>
      </w:r>
    </w:p>
    <w:p>
      <w:pPr>
        <w:numPr>
          <w:numId w:val="0"/>
        </w:numPr>
        <w:rPr>
          <w:rFonts w:hint="eastAsia"/>
          <w:lang w:val="en-US" w:eastAsia="zh-CN"/>
        </w:rPr>
      </w:pPr>
    </w:p>
    <w:p>
      <w:pPr>
        <w:numPr>
          <w:numId w:val="0"/>
        </w:numPr>
        <w:rPr>
          <w:rFonts w:hint="eastAsia"/>
          <w:lang w:val="en-US" w:eastAsia="zh-CN"/>
        </w:rPr>
      </w:pPr>
      <w:r>
        <w:rPr>
          <w:rFonts w:hint="eastAsia"/>
          <w:lang w:val="en-US" w:eastAsia="zh-CN"/>
        </w:rPr>
        <w:t>四、选拔及录取</w:t>
      </w:r>
    </w:p>
    <w:p>
      <w:pPr>
        <w:numPr>
          <w:numId w:val="0"/>
        </w:numPr>
        <w:rPr>
          <w:rFonts w:hint="eastAsia"/>
          <w:lang w:val="en-US" w:eastAsia="zh-CN"/>
        </w:rPr>
      </w:pPr>
    </w:p>
    <w:p>
      <w:pPr>
        <w:numPr>
          <w:numId w:val="0"/>
        </w:numPr>
        <w:rPr>
          <w:rFonts w:hint="eastAsia"/>
          <w:lang w:val="en-US" w:eastAsia="zh-CN"/>
        </w:rPr>
      </w:pPr>
      <w:r>
        <w:rPr>
          <w:rFonts w:hint="eastAsia"/>
          <w:lang w:val="en-US" w:eastAsia="zh-CN"/>
        </w:rPr>
        <w:t xml:space="preserve">1．审核：以学测成绩为主要依据对考生申请材料进行审核，择优录取。材料不全者，审核不予通过。     </w:t>
      </w:r>
    </w:p>
    <w:p>
      <w:pPr>
        <w:numPr>
          <w:numId w:val="0"/>
        </w:numPr>
        <w:rPr>
          <w:rFonts w:hint="eastAsia"/>
          <w:lang w:val="en-US" w:eastAsia="zh-CN"/>
        </w:rPr>
      </w:pPr>
    </w:p>
    <w:p>
      <w:pPr>
        <w:numPr>
          <w:numId w:val="0"/>
        </w:numPr>
        <w:rPr>
          <w:rFonts w:hint="eastAsia"/>
          <w:lang w:val="en-US" w:eastAsia="zh-CN"/>
        </w:rPr>
      </w:pPr>
      <w:r>
        <w:rPr>
          <w:rFonts w:hint="eastAsia"/>
          <w:lang w:val="en-US" w:eastAsia="zh-CN"/>
        </w:rPr>
        <w:t xml:space="preserve">2.录取：根据视频专业表现择优录取。     </w:t>
      </w:r>
    </w:p>
    <w:p>
      <w:pPr>
        <w:numPr>
          <w:numId w:val="0"/>
        </w:numPr>
        <w:rPr>
          <w:rFonts w:hint="eastAsia"/>
          <w:lang w:val="en-US" w:eastAsia="zh-CN"/>
        </w:rPr>
      </w:pPr>
    </w:p>
    <w:p>
      <w:pPr>
        <w:numPr>
          <w:numId w:val="0"/>
        </w:numPr>
        <w:rPr>
          <w:rFonts w:hint="eastAsia"/>
          <w:lang w:val="en-US" w:eastAsia="zh-CN"/>
        </w:rPr>
      </w:pPr>
      <w:r>
        <w:rPr>
          <w:rFonts w:hint="eastAsia"/>
          <w:lang w:val="en-US" w:eastAsia="zh-CN"/>
        </w:rPr>
        <w:t>五、联系方法：</w:t>
      </w:r>
    </w:p>
    <w:p>
      <w:pPr>
        <w:numPr>
          <w:numId w:val="0"/>
        </w:numPr>
        <w:rPr>
          <w:rFonts w:hint="eastAsia"/>
          <w:lang w:val="en-US" w:eastAsia="zh-CN"/>
        </w:rPr>
      </w:pPr>
    </w:p>
    <w:p>
      <w:pPr>
        <w:numPr>
          <w:numId w:val="0"/>
        </w:numPr>
        <w:rPr>
          <w:rFonts w:hint="eastAsia"/>
          <w:lang w:val="en-US" w:eastAsia="zh-CN"/>
        </w:rPr>
      </w:pPr>
      <w:r>
        <w:rPr>
          <w:rFonts w:hint="eastAsia"/>
          <w:lang w:val="en-US" w:eastAsia="zh-CN"/>
        </w:rPr>
        <w:t xml:space="preserve">联系人：于老师    </w:t>
      </w:r>
    </w:p>
    <w:p>
      <w:pPr>
        <w:numPr>
          <w:numId w:val="0"/>
        </w:numPr>
        <w:rPr>
          <w:rFonts w:hint="eastAsia"/>
          <w:lang w:val="en-US" w:eastAsia="zh-CN"/>
        </w:rPr>
      </w:pPr>
    </w:p>
    <w:p>
      <w:pPr>
        <w:numPr>
          <w:numId w:val="0"/>
        </w:numPr>
        <w:rPr>
          <w:rFonts w:hint="eastAsia"/>
          <w:lang w:val="en-US" w:eastAsia="zh-CN"/>
        </w:rPr>
      </w:pPr>
      <w:r>
        <w:rPr>
          <w:rFonts w:hint="eastAsia"/>
          <w:lang w:val="en-US" w:eastAsia="zh-CN"/>
        </w:rPr>
        <w:t xml:space="preserve">地址：中国天津市河东区十一经路57号天津音乐学院港澳台事务办公室    </w:t>
      </w:r>
    </w:p>
    <w:p>
      <w:pPr>
        <w:numPr>
          <w:numId w:val="0"/>
        </w:numPr>
        <w:rPr>
          <w:rFonts w:hint="eastAsia"/>
          <w:lang w:val="en-US" w:eastAsia="zh-CN"/>
        </w:rPr>
      </w:pPr>
    </w:p>
    <w:p>
      <w:pPr>
        <w:numPr>
          <w:numId w:val="0"/>
        </w:numPr>
        <w:rPr>
          <w:rFonts w:hint="eastAsia"/>
          <w:lang w:val="en-US" w:eastAsia="zh-CN"/>
        </w:rPr>
      </w:pPr>
      <w:r>
        <w:rPr>
          <w:rFonts w:hint="eastAsia"/>
          <w:lang w:val="en-US" w:eastAsia="zh-CN"/>
        </w:rPr>
        <w:t xml:space="preserve">邮政编码：300171    </w:t>
      </w:r>
    </w:p>
    <w:p>
      <w:pPr>
        <w:numPr>
          <w:numId w:val="0"/>
        </w:numPr>
        <w:rPr>
          <w:rFonts w:hint="eastAsia"/>
          <w:lang w:val="en-US" w:eastAsia="zh-CN"/>
        </w:rPr>
      </w:pPr>
    </w:p>
    <w:p>
      <w:pPr>
        <w:numPr>
          <w:numId w:val="0"/>
        </w:numPr>
        <w:rPr>
          <w:rFonts w:hint="eastAsia"/>
          <w:lang w:val="en-US" w:eastAsia="zh-CN"/>
        </w:rPr>
      </w:pPr>
      <w:r>
        <w:rPr>
          <w:rFonts w:hint="eastAsia"/>
          <w:lang w:val="en-US" w:eastAsia="zh-CN"/>
        </w:rPr>
        <w:t xml:space="preserve">电话：0086-22-24160390    </w:t>
      </w:r>
    </w:p>
    <w:p>
      <w:pPr>
        <w:numPr>
          <w:numId w:val="0"/>
        </w:numPr>
        <w:rPr>
          <w:rFonts w:hint="eastAsia"/>
          <w:lang w:val="en-US" w:eastAsia="zh-CN"/>
        </w:rPr>
      </w:pPr>
    </w:p>
    <w:p>
      <w:pPr>
        <w:numPr>
          <w:numId w:val="0"/>
        </w:numPr>
        <w:rPr>
          <w:rFonts w:hint="eastAsia"/>
          <w:lang w:val="en-US" w:eastAsia="zh-CN"/>
        </w:rPr>
      </w:pPr>
      <w:r>
        <w:rPr>
          <w:rFonts w:hint="eastAsia"/>
          <w:lang w:val="en-US" w:eastAsia="zh-CN"/>
        </w:rPr>
        <w:t>邮箱：jlc@tjcm.edu.cn</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4A9EDB"/>
    <w:multiLevelType w:val="singleLevel"/>
    <w:tmpl w:val="754A9EDB"/>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10497E"/>
    <w:rsid w:val="241049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2021-02-16T09:25:00Z</dcterms:created>
  <dc:creator>阿Co</dc:creator>
  <cp:lastModifiedBy>阿Co</cp:lastModifiedBy>
  <dcterms:modified xsi:type="dcterms:W3CDTF">2021-02-16T09:34:09Z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