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3D3D3" w:sz="12" w:space="3"/>
          <w:right w:val="none" w:color="auto" w:sz="0" w:space="0"/>
        </w:pBdr>
        <w:shd w:val="clear" w:fill="F2F2F2"/>
        <w:spacing w:before="0" w:beforeAutospacing="0" w:after="0" w:afterAutospacing="0" w:line="390" w:lineRule="atLeast"/>
        <w:ind w:left="0" w:right="0" w:firstLine="0"/>
        <w:jc w:val="center"/>
        <w:rPr>
          <w:rFonts w:ascii="Microsoft YaHei" w:hAnsi="Microsoft YaHei" w:eastAsia="Microsoft YaHei" w:cs="Microsoft YaHei"/>
          <w:i w:val="0"/>
          <w:caps w:val="0"/>
          <w:color w:val="1C5895"/>
          <w:spacing w:val="0"/>
          <w:sz w:val="28"/>
          <w:szCs w:val="28"/>
        </w:rPr>
      </w:pPr>
      <w:r>
        <w:rPr>
          <w:rFonts w:hint="eastAsia" w:ascii="Microsoft YaHei" w:hAnsi="Microsoft YaHei" w:eastAsia="Microsoft YaHei" w:cs="Microsoft YaHei"/>
          <w:i w:val="0"/>
          <w:caps w:val="0"/>
          <w:color w:val="1C5895"/>
          <w:spacing w:val="0"/>
          <w:sz w:val="28"/>
          <w:szCs w:val="28"/>
          <w:bdr w:val="none" w:color="auto" w:sz="0" w:space="0"/>
          <w:shd w:val="clear" w:fill="F2F2F2"/>
        </w:rPr>
        <w:t>2018年免試招收臺灣學生實施辦法</w:t>
      </w:r>
    </w:p>
    <w:p>
      <w:pPr>
        <w:rPr>
          <w:rFonts w:hint="eastAsia"/>
        </w:rPr>
      </w:pPr>
      <w:r>
        <w:rPr>
          <w:rFonts w:hint="eastAsia"/>
        </w:rPr>
        <w:t>中國藥科大學2018年免試招收臺灣學生實施辦法</w:t>
      </w:r>
    </w:p>
    <w:p>
      <w:pPr>
        <w:rPr>
          <w:rFonts w:hint="eastAsia"/>
        </w:rPr>
      </w:pPr>
      <w:r>
        <w:rPr>
          <w:rFonts w:hint="eastAsia"/>
        </w:rPr>
        <w:t>中国药科大学是一所历史悠久、在药学界享有盛誉的教育部直属“211工程”重点建设的大学，坐落于历史文化名城古都南京。前身为始建于1936年的国立药学专科学校（四年制），是我国历史上第一所由国家创办的高等药学学府。</w:t>
      </w:r>
    </w:p>
    <w:p>
      <w:pPr>
        <w:rPr>
          <w:rFonts w:hint="eastAsia"/>
        </w:rPr>
      </w:pPr>
      <w:r>
        <w:rPr>
          <w:rFonts w:hint="eastAsia"/>
        </w:rPr>
        <w:t>学校现有玄武门、江宁2个校区，占地近2100亩。截止2015年底，学校全日制在校生15000余人，其中：研究生3600余人，本专科生近12000人。专任教师910人，其中：中国工程院院士2人、德国科学院院士1人、“国家杰出青年科学基金”获得者4人、“长江学者”6人、“千人计划”入选者2人、“万人计划”入选者3人。</w:t>
      </w:r>
    </w:p>
    <w:p>
      <w:pPr>
        <w:rPr>
          <w:rFonts w:hint="eastAsia"/>
        </w:rPr>
      </w:pPr>
      <w:r>
        <w:rPr>
          <w:rFonts w:hint="eastAsia"/>
        </w:rPr>
        <w:t>学校学科涵盖理学、医学、工学、经济学、管理学、文学、法学7个学科门类。药学一级学科为国家重点学科。2015年，学校药理与毒理学、化学以及临床医学三个学科领域的ESI排名进入全球前1%。药理与毒理学学科发文量居国内高校之首。学校现有25个本科专业、5个专科（高职）专业、 2个一级学科博士点（药学、中药学）、24个二级学科博士点、5个一级学科硕士点、36个二级学科硕士点，5个专业学位授权点、2个博士后流动站（药学、中药学）。23个学科专业可招收博士后研究人员。</w:t>
      </w:r>
    </w:p>
    <w:p>
      <w:pPr>
        <w:rPr>
          <w:rFonts w:hint="eastAsia"/>
        </w:rPr>
      </w:pPr>
      <w:r>
        <w:rPr>
          <w:rFonts w:hint="eastAsia"/>
        </w:rPr>
        <w:t>学校坚持“学术第一、师生为本、共生共赢”的理念，实施融合知识、能力、素质为一体的药学人才培养模式，重视培养学生创新思维，致力于造就未来药界精英。学校是全国医药院校中唯一一所连续三次获得国家级教学成果一等奖殊荣的高校。2014年，学校推荐申报的3项教学成果全部荣获第七届国家级教学成果二等奖，囊括该届国家级药学教育类教学成果奖所有奖项。学校就业率一直位列教育部直属高校及江苏省高校前茅。2014届本科毕业生就业率位列教育部直属高校第一名。</w:t>
      </w:r>
    </w:p>
    <w:p>
      <w:pPr>
        <w:rPr>
          <w:rFonts w:hint="eastAsia"/>
        </w:rPr>
      </w:pPr>
      <w:r>
        <w:rPr>
          <w:rFonts w:hint="eastAsia"/>
        </w:rPr>
        <w:t>学校推进科研创新，研发普惠良药。建有“天然药物活性组分与药效”国家重点实验室和省部级重点实验室、工程技术中心、创新平台18个。与海外40多个国家和地区的院校及科研机构建有学术联系。“十二五”以来，获国家“重大新药创制”科技重大专项课题26项，经费资助达1.78亿元，获批项目数、经费数均居全国高校之首。学校获国家科技进步二等奖2项，获国家新药证书2本、新药临床批文6个、授权发明专利410件；发表SCI论文3919篇。</w:t>
      </w:r>
    </w:p>
    <w:p>
      <w:pPr>
        <w:rPr>
          <w:rFonts w:hint="eastAsia"/>
        </w:rPr>
      </w:pPr>
      <w:r>
        <w:rPr>
          <w:rFonts w:hint="eastAsia"/>
        </w:rPr>
        <w:t>今天的中国药科大学，正朝着建设国际知名的高水平研究型大学的目标努力迈进。</w:t>
      </w:r>
    </w:p>
    <w:p>
      <w:pPr>
        <w:rPr>
          <w:rFonts w:hint="eastAsia"/>
        </w:rPr>
      </w:pPr>
      <w:r>
        <w:rPr>
          <w:rFonts w:hint="eastAsia"/>
        </w:rPr>
        <w:t>根據《教育部關於普通高等學校依據臺灣地區大學入學考試學科能力測驗成績招收臺灣高中畢業生的通知》(教港澳臺函[2011]18 號)的精神，我校2018 年將根據臺灣地區大學入學考試學科能力測驗(簡稱“學測”)成績，招收符合條件的臺灣高中畢業生。</w:t>
      </w:r>
    </w:p>
    <w:p>
      <w:pPr>
        <w:rPr>
          <w:rFonts w:hint="eastAsia"/>
        </w:rPr>
      </w:pPr>
      <w:r>
        <w:rPr>
          <w:rFonts w:hint="eastAsia"/>
        </w:rPr>
        <w:t>一、申請資格</w:t>
      </w:r>
    </w:p>
    <w:p>
      <w:pPr>
        <w:rPr>
          <w:rFonts w:hint="eastAsia"/>
        </w:rPr>
      </w:pPr>
      <w:r>
        <w:rPr>
          <w:rFonts w:hint="eastAsia"/>
        </w:rPr>
        <w:t>1. 品行端正，無犯罪記錄，身體健康；</w:t>
      </w:r>
    </w:p>
    <w:p>
      <w:pPr>
        <w:rPr>
          <w:rFonts w:hint="eastAsia"/>
        </w:rPr>
      </w:pPr>
      <w:r>
        <w:rPr>
          <w:rFonts w:hint="eastAsia"/>
        </w:rPr>
        <w:t>2.在臺灣參加“學測”考試，成績達到頂標級、前標級的臺灣高中畢業生；在大陸辦學的台商子弟(女)學校，其高中畢業生均要回臺灣參加“學測”考試，鑒於辦學條件不同，“學測”成績達到均標級的台商子弟(女)學校的高中畢業生。</w:t>
      </w:r>
    </w:p>
    <w:p>
      <w:pPr>
        <w:rPr>
          <w:rFonts w:hint="eastAsia"/>
        </w:rPr>
      </w:pPr>
      <w:r>
        <w:rPr>
          <w:rFonts w:hint="eastAsia"/>
        </w:rPr>
        <w:t>二、報名辦法</w:t>
      </w:r>
    </w:p>
    <w:p>
      <w:pPr>
        <w:rPr>
          <w:rFonts w:hint="eastAsia"/>
        </w:rPr>
      </w:pPr>
      <w:r>
        <w:rPr>
          <w:rFonts w:hint="eastAsia"/>
        </w:rPr>
        <w:t>符合報考條件的同學可直接向我校提出申請，同時提供其臺灣“學測”成績和報名序號。</w:t>
      </w:r>
    </w:p>
    <w:p>
      <w:pPr>
        <w:rPr>
          <w:rFonts w:hint="eastAsia"/>
        </w:rPr>
      </w:pPr>
      <w:r>
        <w:rPr>
          <w:rFonts w:hint="eastAsia"/>
        </w:rPr>
        <w:t>三、申請材料</w:t>
      </w:r>
    </w:p>
    <w:p>
      <w:pPr>
        <w:rPr>
          <w:rFonts w:hint="eastAsia"/>
        </w:rPr>
      </w:pPr>
      <w:r>
        <w:rPr>
          <w:rFonts w:hint="eastAsia"/>
        </w:rPr>
        <w:t>1、填寫完整的《中國藥科大學2018年臺灣地區學生入學申請表》；</w:t>
      </w:r>
    </w:p>
    <w:p>
      <w:pPr>
        <w:rPr>
          <w:rFonts w:hint="eastAsia"/>
        </w:rPr>
      </w:pPr>
      <w:r>
        <w:rPr>
          <w:rFonts w:hint="eastAsia"/>
        </w:rPr>
        <w:t>2、學測成績通知單及中學成績證明影印本；</w:t>
      </w:r>
    </w:p>
    <w:p>
      <w:pPr>
        <w:rPr>
          <w:rFonts w:hint="eastAsia"/>
        </w:rPr>
      </w:pPr>
      <w:r>
        <w:rPr>
          <w:rFonts w:hint="eastAsia"/>
        </w:rPr>
        <w:t>3. 臺灣地區居民身份證影本和《臺灣居民來往大陸通行證》（臺胞證）影本（請注意證件的有效期）；</w:t>
      </w:r>
    </w:p>
    <w:p>
      <w:pPr>
        <w:rPr>
          <w:rFonts w:hint="eastAsia"/>
        </w:rPr>
      </w:pPr>
      <w:r>
        <w:rPr>
          <w:rFonts w:hint="eastAsia"/>
        </w:rPr>
        <w:t>4. 就讀中學校長出具的書面推薦信；</w:t>
      </w:r>
    </w:p>
    <w:p>
      <w:pPr>
        <w:rPr>
          <w:rFonts w:hint="eastAsia"/>
        </w:rPr>
      </w:pPr>
      <w:r>
        <w:rPr>
          <w:rFonts w:hint="eastAsia"/>
        </w:rPr>
        <w:t>5. 800字左右的個人陳述。</w:t>
      </w:r>
    </w:p>
    <w:p>
      <w:pPr>
        <w:rPr>
          <w:rFonts w:hint="eastAsia"/>
        </w:rPr>
      </w:pPr>
      <w:r>
        <w:rPr>
          <w:rFonts w:hint="eastAsia"/>
        </w:rPr>
        <w:t>注：考生報名前應仔細核對本人是否符合報名條件，須對提交的證明材料的真實性負責。凡不符合報考條件的考生，一經查實即予取消報名或錄取資格。</w:t>
      </w:r>
    </w:p>
    <w:p>
      <w:pPr>
        <w:rPr>
          <w:rFonts w:hint="eastAsia"/>
        </w:rPr>
      </w:pPr>
      <w:r>
        <w:rPr>
          <w:rFonts w:hint="eastAsia"/>
        </w:rPr>
        <w:t>四、申請日期</w:t>
      </w:r>
    </w:p>
    <w:p>
      <w:pPr>
        <w:rPr>
          <w:rFonts w:hint="eastAsia"/>
        </w:rPr>
      </w:pPr>
      <w:r>
        <w:rPr>
          <w:rFonts w:hint="eastAsia"/>
        </w:rPr>
        <w:t>2018年3月5日至4月30日</w:t>
      </w:r>
    </w:p>
    <w:p>
      <w:pPr>
        <w:rPr>
          <w:rFonts w:hint="eastAsia"/>
        </w:rPr>
      </w:pPr>
      <w:r>
        <w:rPr>
          <w:rFonts w:hint="eastAsia"/>
        </w:rPr>
        <w:t>請於截止日期前，用特快專郵將申請材料寄到我校 (以抵達地郵戳為准)，同時，發送至admission@cpu.edu.cn。</w:t>
      </w:r>
    </w:p>
    <w:p>
      <w:pPr>
        <w:rPr>
          <w:rFonts w:hint="eastAsia"/>
        </w:rPr>
      </w:pPr>
      <w:r>
        <w:rPr>
          <w:rFonts w:hint="eastAsia"/>
        </w:rPr>
        <w:t>五、面試通知</w:t>
      </w:r>
    </w:p>
    <w:p>
      <w:pPr>
        <w:rPr>
          <w:rFonts w:hint="eastAsia"/>
        </w:rPr>
      </w:pPr>
      <w:r>
        <w:rPr>
          <w:rFonts w:hint="eastAsia"/>
        </w:rPr>
        <w:t>1、面試時間：5月中旬</w:t>
      </w:r>
    </w:p>
    <w:p>
      <w:pPr>
        <w:rPr>
          <w:rFonts w:hint="eastAsia"/>
        </w:rPr>
      </w:pPr>
      <w:r>
        <w:rPr>
          <w:rFonts w:hint="eastAsia"/>
        </w:rPr>
        <w:t>2、面試地點：中國藥科大學港澳臺事務辦公室</w:t>
      </w:r>
    </w:p>
    <w:p>
      <w:pPr>
        <w:rPr>
          <w:rFonts w:hint="eastAsia"/>
        </w:rPr>
      </w:pPr>
      <w:r>
        <w:rPr>
          <w:rFonts w:hint="eastAsia"/>
        </w:rPr>
        <w:t>　　本辦法未盡事宜學校會及時在網上通知（http://gjc.cpu.edu.cn），請及時查看，緊急事宜電話通知。</w:t>
      </w:r>
    </w:p>
    <w:p>
      <w:pPr>
        <w:rPr>
          <w:rFonts w:hint="eastAsia"/>
        </w:rPr>
      </w:pPr>
      <w:r>
        <w:rPr>
          <w:rFonts w:hint="eastAsia"/>
        </w:rPr>
        <w:t>六、錄取</w:t>
      </w:r>
    </w:p>
    <w:p>
      <w:pPr>
        <w:rPr>
          <w:rFonts w:hint="eastAsia"/>
        </w:rPr>
      </w:pPr>
      <w:r>
        <w:rPr>
          <w:rFonts w:hint="eastAsia"/>
        </w:rPr>
        <w:t>根據學生面試成績由學校港澳臺事務辦公室及招生辦公室擬定合格分數線，報學校招生工作領導小組批准。合格學生由學校港澳臺事務辦公室及招生辦公室負責辦理錄取手續。</w:t>
      </w:r>
    </w:p>
    <w:p>
      <w:pPr>
        <w:rPr>
          <w:rFonts w:hint="eastAsia"/>
        </w:rPr>
      </w:pPr>
      <w:r>
        <w:rPr>
          <w:rFonts w:hint="eastAsia"/>
        </w:rPr>
        <w:t>七、培養與管理</w:t>
      </w:r>
    </w:p>
    <w:p>
      <w:pPr>
        <w:rPr>
          <w:rFonts w:hint="eastAsia"/>
        </w:rPr>
      </w:pPr>
      <w:r>
        <w:rPr>
          <w:rFonts w:hint="eastAsia"/>
        </w:rPr>
        <w:t>被錄取的學生入學後，學校按有關學籍管理規定進行培養與管理。學生在學校規定的學習年限內，修完教學計畫規定的內容，達到畢業要求，准予畢業，由學校頒發本科畢業證書。畢業生符合《中華人民共和國學位條例》規定的，授予學士學位。</w:t>
      </w:r>
    </w:p>
    <w:p>
      <w:pPr>
        <w:rPr>
          <w:rFonts w:hint="eastAsia"/>
        </w:rPr>
      </w:pPr>
      <w:r>
        <w:rPr>
          <w:rFonts w:hint="eastAsia"/>
        </w:rPr>
        <w:t>八、學費</w:t>
      </w:r>
    </w:p>
    <w:p>
      <w:pPr>
        <w:rPr>
          <w:rFonts w:hint="eastAsia"/>
        </w:rPr>
      </w:pPr>
      <w:r>
        <w:rPr>
          <w:rFonts w:hint="eastAsia"/>
        </w:rPr>
        <w:t>臺灣學生與內地（大陸）學生學費標準一致。錄取的學生按學校規定繳納學費和雜費。</w:t>
      </w:r>
    </w:p>
    <w:p>
      <w:pPr>
        <w:rPr>
          <w:rFonts w:hint="eastAsia"/>
        </w:rPr>
      </w:pPr>
      <w:r>
        <w:rPr>
          <w:rFonts w:hint="eastAsia"/>
        </w:rPr>
        <w:t>九、聯繫方式</w:t>
      </w:r>
    </w:p>
    <w:p>
      <w:pPr>
        <w:rPr>
          <w:rFonts w:hint="eastAsia"/>
        </w:rPr>
      </w:pPr>
      <w:r>
        <w:rPr>
          <w:rFonts w:hint="eastAsia"/>
        </w:rPr>
        <w:t>中國藥科大學港澳臺事務辦公室</w:t>
      </w:r>
    </w:p>
    <w:p>
      <w:pPr>
        <w:rPr>
          <w:rFonts w:hint="eastAsia"/>
        </w:rPr>
      </w:pPr>
      <w:r>
        <w:rPr>
          <w:rFonts w:hint="eastAsia"/>
        </w:rPr>
        <w:t>地址：南京市江甯區龍眠大道639號，211198</w:t>
      </w:r>
    </w:p>
    <w:p>
      <w:pPr>
        <w:rPr>
          <w:rFonts w:hint="eastAsia"/>
        </w:rPr>
      </w:pPr>
      <w:r>
        <w:rPr>
          <w:rFonts w:hint="eastAsia"/>
        </w:rPr>
        <w:t>連絡人：邱老師</w:t>
      </w:r>
    </w:p>
    <w:p>
      <w:pPr>
        <w:rPr>
          <w:rFonts w:hint="eastAsia"/>
        </w:rPr>
      </w:pPr>
      <w:r>
        <w:rPr>
          <w:rFonts w:hint="eastAsia"/>
        </w:rPr>
        <w:t>電話： 0086-25-8618-5423</w:t>
      </w:r>
    </w:p>
    <w:p>
      <w:pPr>
        <w:rPr>
          <w:rFonts w:hint="eastAsia"/>
        </w:rPr>
      </w:pPr>
      <w:r>
        <w:rPr>
          <w:rFonts w:hint="eastAsia"/>
        </w:rPr>
        <w:t>Email：admission@cpu.edu.cn</w:t>
      </w:r>
    </w:p>
    <w:p>
      <w:pPr>
        <w:rPr>
          <w:rFonts w:hint="eastAsia"/>
        </w:rPr>
      </w:pPr>
      <w:r>
        <w:rPr>
          <w:rFonts w:hint="eastAsia"/>
        </w:rPr>
        <w:t xml:space="preserve">網址: </w:t>
      </w:r>
      <w:r>
        <w:rPr>
          <w:rFonts w:hint="eastAsia"/>
        </w:rPr>
        <w:fldChar w:fldCharType="begin"/>
      </w:r>
      <w:r>
        <w:rPr>
          <w:rFonts w:hint="eastAsia"/>
        </w:rPr>
        <w:instrText xml:space="preserve"> HYPERLINK "http://gjc.cpu.edu.cn" </w:instrText>
      </w:r>
      <w:r>
        <w:rPr>
          <w:rFonts w:hint="eastAsia"/>
        </w:rPr>
        <w:fldChar w:fldCharType="separate"/>
      </w:r>
      <w:r>
        <w:rPr>
          <w:rStyle w:val="5"/>
          <w:rFonts w:hint="eastAsia"/>
        </w:rPr>
        <w:t>http://gjc.cpu.edu.cn</w:t>
      </w:r>
      <w:r>
        <w:rPr>
          <w:rFonts w:hint="eastAsia"/>
        </w:rPr>
        <w:fldChar w:fldCharType="end"/>
      </w:r>
    </w:p>
    <w:p>
      <w:pPr>
        <w:rPr>
          <w:rFonts w:hint="eastAsia"/>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75" w:afterAutospacing="0" w:line="360" w:lineRule="atLeast"/>
        <w:ind w:left="60" w:right="150" w:firstLine="405"/>
        <w:jc w:val="right"/>
        <w:rPr>
          <w:rFonts w:ascii="Microsoft YaHei" w:hAnsi="Microsoft YaHei" w:eastAsia="Microsoft YaHei" w:cs="Microsoft YaHei"/>
          <w:i w:val="0"/>
          <w:caps w:val="0"/>
          <w:color w:val="737373"/>
          <w:spacing w:val="0"/>
          <w:sz w:val="21"/>
          <w:szCs w:val="21"/>
        </w:rPr>
      </w:pPr>
      <w:r>
        <w:rPr>
          <w:rFonts w:ascii="新細明體" w:hAnsi="新細明體" w:eastAsia="新細明體" w:cs="新細明體"/>
          <w:i w:val="0"/>
          <w:caps w:val="0"/>
          <w:color w:val="0C0C0C"/>
          <w:spacing w:val="0"/>
          <w:sz w:val="24"/>
          <w:szCs w:val="24"/>
          <w:bdr w:val="none" w:color="auto" w:sz="0" w:space="0"/>
          <w:shd w:val="clear" w:fill="FFFFFF"/>
          <w:lang w:eastAsia="zh-TW"/>
        </w:rPr>
        <w:t>中國藥科大學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75" w:afterAutospacing="0" w:line="360" w:lineRule="atLeast"/>
        <w:ind w:left="60" w:right="150" w:firstLine="405"/>
        <w:jc w:val="right"/>
        <w:rPr>
          <w:rFonts w:hint="eastAsia" w:ascii="Microsoft YaHei" w:hAnsi="Microsoft YaHei" w:eastAsia="Microsoft YaHei" w:cs="Microsoft YaHei"/>
          <w:i w:val="0"/>
          <w:caps w:val="0"/>
          <w:color w:val="737373"/>
          <w:spacing w:val="0"/>
          <w:sz w:val="21"/>
          <w:szCs w:val="21"/>
        </w:rPr>
      </w:pPr>
      <w:r>
        <w:rPr>
          <w:rFonts w:hint="eastAsia" w:ascii="新細明體" w:hAnsi="新細明體" w:eastAsia="新細明體" w:cs="新細明體"/>
          <w:i w:val="0"/>
          <w:caps w:val="0"/>
          <w:color w:val="0C0C0C"/>
          <w:spacing w:val="0"/>
          <w:sz w:val="24"/>
          <w:szCs w:val="24"/>
          <w:bdr w:val="none" w:color="auto" w:sz="0" w:space="0"/>
          <w:shd w:val="clear" w:fill="FFFFFF"/>
          <w:lang w:eastAsia="zh-TW"/>
        </w:rPr>
        <w:t>港澳臺事務辦公室、招生辦公室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75" w:afterAutospacing="0" w:line="360" w:lineRule="atLeast"/>
        <w:ind w:left="60" w:right="150" w:firstLine="405"/>
        <w:jc w:val="right"/>
        <w:rPr>
          <w:rFonts w:hint="eastAsia" w:ascii="Microsoft YaHei" w:hAnsi="Microsoft YaHei" w:eastAsia="Microsoft YaHei" w:cs="Microsoft YaHei"/>
          <w:i w:val="0"/>
          <w:caps w:val="0"/>
          <w:color w:val="737373"/>
          <w:spacing w:val="0"/>
          <w:sz w:val="21"/>
          <w:szCs w:val="21"/>
        </w:rPr>
      </w:pPr>
      <w:r>
        <w:rPr>
          <w:rFonts w:hint="eastAsia" w:ascii="Microsoft YaHei" w:hAnsi="Microsoft YaHei" w:eastAsia="Microsoft YaHei" w:cs="Microsoft YaHei"/>
          <w:i w:val="0"/>
          <w:caps w:val="0"/>
          <w:color w:val="0C0C0C"/>
          <w:spacing w:val="0"/>
          <w:sz w:val="24"/>
          <w:szCs w:val="24"/>
          <w:bdr w:val="none" w:color="auto" w:sz="0" w:space="0"/>
          <w:shd w:val="clear" w:fill="FFFFFF"/>
          <w:lang w:val="en-US"/>
        </w:rPr>
        <w:t>2018</w:t>
      </w:r>
      <w:r>
        <w:rPr>
          <w:rFonts w:hint="eastAsia" w:ascii="新細明體" w:hAnsi="新細明體" w:eastAsia="新細明體" w:cs="新細明體"/>
          <w:i w:val="0"/>
          <w:caps w:val="0"/>
          <w:color w:val="0C0C0C"/>
          <w:spacing w:val="0"/>
          <w:sz w:val="24"/>
          <w:szCs w:val="24"/>
          <w:bdr w:val="none" w:color="auto" w:sz="0" w:space="0"/>
          <w:shd w:val="clear" w:fill="FFFFFF"/>
          <w:lang w:eastAsia="zh-TW"/>
        </w:rPr>
        <w:t>年</w:t>
      </w:r>
      <w:r>
        <w:rPr>
          <w:rFonts w:hint="eastAsia" w:ascii="Microsoft YaHei" w:hAnsi="Microsoft YaHei" w:eastAsia="Microsoft YaHei" w:cs="Microsoft YaHei"/>
          <w:i w:val="0"/>
          <w:caps w:val="0"/>
          <w:color w:val="0C0C0C"/>
          <w:spacing w:val="0"/>
          <w:sz w:val="24"/>
          <w:szCs w:val="24"/>
          <w:bdr w:val="none" w:color="auto" w:sz="0" w:space="0"/>
          <w:shd w:val="clear" w:fill="FFFFFF"/>
          <w:lang w:val="en-US"/>
        </w:rPr>
        <w:t>3</w:t>
      </w:r>
      <w:r>
        <w:rPr>
          <w:rFonts w:hint="eastAsia" w:ascii="新細明體" w:hAnsi="新細明體" w:eastAsia="新細明體" w:cs="新細明體"/>
          <w:i w:val="0"/>
          <w:caps w:val="0"/>
          <w:color w:val="0C0C0C"/>
          <w:spacing w:val="0"/>
          <w:sz w:val="24"/>
          <w:szCs w:val="24"/>
          <w:bdr w:val="none" w:color="auto" w:sz="0" w:space="0"/>
          <w:shd w:val="clear" w:fill="FFFFFF"/>
          <w:lang w:eastAsia="zh-TW"/>
        </w:rPr>
        <w:t>月</w:t>
      </w:r>
      <w:r>
        <w:rPr>
          <w:rFonts w:hint="eastAsia" w:ascii="Microsoft YaHei" w:hAnsi="Microsoft YaHei" w:eastAsia="Microsoft YaHei" w:cs="Microsoft YaHei"/>
          <w:i w:val="0"/>
          <w:caps w:val="0"/>
          <w:color w:val="0C0C0C"/>
          <w:spacing w:val="0"/>
          <w:sz w:val="24"/>
          <w:szCs w:val="24"/>
          <w:bdr w:val="none" w:color="auto" w:sz="0" w:space="0"/>
          <w:shd w:val="clear" w:fill="FFFFFF"/>
          <w:lang w:val="en-US"/>
        </w:rPr>
        <w:t>5</w:t>
      </w:r>
      <w:r>
        <w:rPr>
          <w:rFonts w:hint="eastAsia" w:ascii="新細明體" w:hAnsi="新細明體" w:eastAsia="新細明體" w:cs="新細明體"/>
          <w:i w:val="0"/>
          <w:caps w:val="0"/>
          <w:color w:val="0C0C0C"/>
          <w:spacing w:val="0"/>
          <w:sz w:val="24"/>
          <w:szCs w:val="24"/>
          <w:bdr w:val="none" w:color="auto" w:sz="0" w:space="0"/>
          <w:shd w:val="clear" w:fill="FFFFFF"/>
          <w:lang w:eastAsia="zh-TW"/>
        </w:rPr>
        <w:t>日</w:t>
      </w:r>
    </w:p>
    <w:p>
      <w:pPr>
        <w:rPr>
          <w:rFonts w:hint="eastAsia"/>
        </w:rPr>
      </w:pPr>
    </w:p>
    <w:p>
      <w:pPr>
        <w:rPr>
          <w:rFonts w:hint="eastAsia"/>
        </w:rPr>
      </w:pPr>
    </w:p>
    <w:p>
      <w:pPr>
        <w:rPr>
          <w:rFonts w:hint="eastAsia"/>
          <w:lang w:eastAsia="zh-CN"/>
        </w:rPr>
      </w:pPr>
    </w:p>
    <w:p>
      <w:pPr>
        <w:rPr>
          <w:rFonts w:hint="eastAsia"/>
          <w:lang w:eastAsia="zh-CN"/>
        </w:rPr>
      </w:pPr>
    </w:p>
    <w:p>
      <w:pPr>
        <w:rPr>
          <w:rFonts w:hint="eastAsia" w:eastAsiaTheme="minorEastAsia"/>
          <w:lang w:eastAsia="zh-CN"/>
        </w:rPr>
      </w:pPr>
      <w:bookmarkStart w:id="0" w:name="_GoBack"/>
      <w:bookmarkEnd w:id="0"/>
      <w:r>
        <w:rPr>
          <w:rFonts w:hint="eastAsia"/>
          <w:lang w:eastAsia="zh-CN"/>
        </w:rPr>
        <w:t>網址：http://gjc.cpu.edu.cn/68/cb/c333a92363/page.htm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093ECD"/>
    <w:rsid w:val="56093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2018-03-07T01:42:00Z</dcterms:created>
  <dc:creator>user</dc:creator>
  <cp:lastModifiedBy>user</cp:lastModifiedBy>
  <dcterms:modified xsi:type="dcterms:W3CDTF">2018-03-07T01:50:32Z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