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8306" w:type="dxa"/>
        <w:tblCellSpacing w:w="0" w:type="dxa"/>
        <w:tblInd w:w="0" w:type="dxa"/>
        <w:shd w:val="clear" w:color="auto" w:fill="FFFFFF"/>
        <w:tblLayout w:type="fixed"/>
        <w:tblCellMar>
          <w:top w:w="0" w:type="dxa"/>
          <w:left w:w="0" w:type="dxa"/>
          <w:bottom w:w="0" w:type="dxa"/>
          <w:right w:w="0" w:type="dxa"/>
        </w:tblCellMar>
      </w:tblPr>
      <w:tblGrid>
        <w:gridCol w:w="8306"/>
      </w:tblGrid>
      <w:tr>
        <w:tblPrEx>
          <w:shd w:val="clear" w:color="auto" w:fill="FFFFFF"/>
          <w:tblLayout w:type="fixed"/>
          <w:tblCellMar>
            <w:top w:w="0" w:type="dxa"/>
            <w:left w:w="0" w:type="dxa"/>
            <w:bottom w:w="0" w:type="dxa"/>
            <w:right w:w="0" w:type="dxa"/>
          </w:tblCellMar>
        </w:tblPrEx>
        <w:trPr>
          <w:tblCellSpacing w:w="0" w:type="dxa"/>
        </w:trPr>
        <w:tc>
          <w:tcPr>
            <w:tcW w:w="8306" w:type="dxa"/>
            <w:shd w:val="clear" w:color="auto" w:fill="FFFFFF"/>
            <w:vAlign w:val="center"/>
          </w:tcPr>
          <w:p>
            <w:pPr>
              <w:keepNext w:val="0"/>
              <w:keepLines w:val="0"/>
              <w:widowControl/>
              <w:suppressLineNumbers w:val="0"/>
              <w:ind w:left="0" w:firstLine="0"/>
              <w:jc w:val="center"/>
              <w:rPr>
                <w:rFonts w:hint="eastAsia" w:ascii="SimSun" w:hAnsi="SimSun" w:eastAsia="SimSun" w:cs="SimSun"/>
                <w:b/>
                <w:i w:val="0"/>
                <w:caps w:val="0"/>
                <w:color w:val="000000"/>
                <w:spacing w:val="0"/>
                <w:sz w:val="24"/>
                <w:szCs w:val="24"/>
              </w:rPr>
            </w:pPr>
            <w:r>
              <w:rPr>
                <w:rFonts w:hint="eastAsia" w:ascii="SimSun" w:hAnsi="SimSun" w:eastAsia="SimSun" w:cs="SimSun"/>
                <w:b/>
                <w:i w:val="0"/>
                <w:caps w:val="0"/>
                <w:color w:val="000000"/>
                <w:spacing w:val="0"/>
                <w:kern w:val="0"/>
                <w:sz w:val="24"/>
                <w:szCs w:val="24"/>
                <w:lang w:val="en-US" w:eastAsia="zh-CN" w:bidi="ar"/>
              </w:rPr>
              <w:t>2018年天津中醫藥大學免試招收臺灣考生招生簡章</w:t>
            </w:r>
          </w:p>
        </w:tc>
      </w:tr>
      <w:tr>
        <w:tblPrEx>
          <w:shd w:val="clear" w:color="auto" w:fill="FFFFFF"/>
          <w:tblLayout w:type="fixed"/>
          <w:tblCellMar>
            <w:top w:w="0" w:type="dxa"/>
            <w:left w:w="0" w:type="dxa"/>
            <w:bottom w:w="0" w:type="dxa"/>
            <w:right w:w="0" w:type="dxa"/>
          </w:tblCellMar>
        </w:tblPrEx>
        <w:trPr>
          <w:trHeight w:val="450" w:hRule="atLeast"/>
          <w:tblCellSpacing w:w="0" w:type="dxa"/>
        </w:trPr>
        <w:tc>
          <w:tcPr>
            <w:tcW w:w="8306" w:type="dxa"/>
            <w:shd w:val="clear" w:color="auto" w:fill="FFFFFF"/>
            <w:vAlign w:val="center"/>
          </w:tcPr>
          <w:p>
            <w:pPr>
              <w:keepNext w:val="0"/>
              <w:keepLines w:val="0"/>
              <w:widowControl/>
              <w:suppressLineNumbers w:val="0"/>
              <w:ind w:left="0" w:firstLine="0"/>
              <w:jc w:val="center"/>
              <w:rPr>
                <w:rFonts w:hint="eastAsia" w:ascii="SimSun" w:hAnsi="SimSun" w:eastAsia="SimSun" w:cs="SimSun"/>
                <w:i w:val="0"/>
                <w:caps w:val="0"/>
                <w:color w:val="000000"/>
                <w:spacing w:val="0"/>
                <w:sz w:val="18"/>
                <w:szCs w:val="18"/>
              </w:rPr>
            </w:pPr>
            <w:r>
              <w:rPr>
                <w:rFonts w:hint="eastAsia" w:ascii="SimSun" w:hAnsi="SimSun" w:eastAsia="SimSun" w:cs="SimSun"/>
                <w:i w:val="0"/>
                <w:caps w:val="0"/>
                <w:color w:val="000000"/>
                <w:spacing w:val="0"/>
                <w:kern w:val="0"/>
                <w:sz w:val="20"/>
                <w:szCs w:val="20"/>
                <w:lang w:val="en-US" w:eastAsia="zh-CN" w:bidi="ar"/>
              </w:rPr>
              <w:t>2017-12-29 13:54</w:t>
            </w:r>
            <w:r>
              <w:rPr>
                <w:rFonts w:hint="eastAsia" w:ascii="SimSun" w:hAnsi="SimSun" w:eastAsia="SimSun" w:cs="SimSun"/>
                <w:i w:val="0"/>
                <w:caps w:val="0"/>
                <w:color w:val="000000"/>
                <w:spacing w:val="0"/>
                <w:kern w:val="0"/>
                <w:sz w:val="18"/>
                <w:szCs w:val="18"/>
                <w:lang w:val="en-US" w:eastAsia="zh-CN" w:bidi="ar"/>
              </w:rPr>
              <w:t> </w:t>
            </w:r>
            <w:r>
              <w:rPr>
                <w:rFonts w:hint="eastAsia" w:ascii="SimSun" w:hAnsi="SimSun" w:eastAsia="SimSun" w:cs="SimSun"/>
                <w:i w:val="0"/>
                <w:caps w:val="0"/>
                <w:color w:val="000000"/>
                <w:spacing w:val="0"/>
                <w:kern w:val="0"/>
                <w:sz w:val="20"/>
                <w:szCs w:val="20"/>
                <w:lang w:val="en-US" w:eastAsia="zh-CN" w:bidi="ar"/>
              </w:rPr>
              <w:t>国际教育学院  </w:t>
            </w:r>
            <w:r>
              <w:rPr>
                <w:rFonts w:hint="eastAsia" w:ascii="SimSun" w:hAnsi="SimSun" w:eastAsia="SimSun" w:cs="SimSun"/>
                <w:i w:val="0"/>
                <w:caps w:val="0"/>
                <w:color w:val="000000"/>
                <w:spacing w:val="0"/>
                <w:kern w:val="0"/>
                <w:sz w:val="18"/>
                <w:szCs w:val="18"/>
                <w:lang w:val="en-US" w:eastAsia="zh-CN" w:bidi="ar"/>
              </w:rPr>
              <w:t>审核人：</w:t>
            </w:r>
          </w:p>
        </w:tc>
      </w:tr>
      <w:tr>
        <w:tblPrEx>
          <w:shd w:val="clear" w:color="auto" w:fill="FFFFFF"/>
          <w:tblLayout w:type="fixed"/>
          <w:tblCellMar>
            <w:top w:w="0" w:type="dxa"/>
            <w:left w:w="0" w:type="dxa"/>
            <w:bottom w:w="0" w:type="dxa"/>
            <w:right w:w="0" w:type="dxa"/>
          </w:tblCellMar>
        </w:tblPrEx>
        <w:trPr>
          <w:tblCellSpacing w:w="0" w:type="dxa"/>
        </w:trPr>
        <w:tc>
          <w:tcPr>
            <w:tcW w:w="8306" w:type="dxa"/>
            <w:shd w:val="clear" w:color="auto" w:fill="FFFFFF"/>
            <w:vAlign w:val="center"/>
          </w:tcPr>
          <w:p>
            <w:pPr>
              <w:jc w:val="right"/>
              <w:rPr>
                <w:rFonts w:hint="eastAsia" w:ascii="SimSun" w:hAnsi="SimSun" w:eastAsia="SimSun" w:cs="SimSun"/>
                <w:i w:val="0"/>
                <w:caps w:val="0"/>
                <w:color w:val="000000"/>
                <w:spacing w:val="0"/>
                <w:sz w:val="18"/>
                <w:szCs w:val="18"/>
              </w:rPr>
            </w:pPr>
          </w:p>
        </w:tc>
      </w:tr>
      <w:tr>
        <w:tblPrEx>
          <w:shd w:val="clear" w:color="auto" w:fill="FFFFFF"/>
          <w:tblLayout w:type="fixed"/>
          <w:tblCellMar>
            <w:top w:w="0" w:type="dxa"/>
            <w:left w:w="0" w:type="dxa"/>
            <w:bottom w:w="0" w:type="dxa"/>
            <w:right w:w="0" w:type="dxa"/>
          </w:tblCellMar>
        </w:tblPrEx>
        <w:trPr>
          <w:tblCellSpacing w:w="0" w:type="dxa"/>
        </w:trPr>
        <w:tc>
          <w:tcPr>
            <w:tcW w:w="8306" w:type="dxa"/>
            <w:shd w:val="clear" w:color="auto" w:fill="FFFFFF"/>
            <w:vAlign w:val="center"/>
          </w:tcPr>
          <w:p>
            <w:pPr>
              <w:pStyle w:val="2"/>
              <w:keepNext w:val="0"/>
              <w:keepLines w:val="0"/>
              <w:widowControl/>
              <w:suppressLineNumbers w:val="0"/>
              <w:spacing w:before="0" w:beforeAutospacing="1" w:after="0" w:afterAutospacing="1" w:line="315" w:lineRule="atLeast"/>
              <w:ind w:left="0" w:right="0" w:firstLine="420"/>
              <w:rPr>
                <w:sz w:val="21"/>
                <w:szCs w:val="21"/>
              </w:rPr>
            </w:pPr>
            <w:r>
              <w:rPr>
                <w:rStyle w:val="4"/>
                <w:rFonts w:hint="eastAsia" w:ascii="SimSun" w:hAnsi="SimSun" w:eastAsia="SimSun" w:cs="SimSun"/>
                <w:i w:val="0"/>
                <w:caps w:val="0"/>
                <w:color w:val="000000"/>
                <w:spacing w:val="0"/>
                <w:sz w:val="21"/>
                <w:szCs w:val="21"/>
              </w:rPr>
              <w:t>天津中醫藥大學（Tianjin University of Traditional Chinese Medicine）以“做精醫學，做強藥學，做實健康相關專業，做大社會服務”為發展戰略，以重點學科建設和中醫藥對外教育為特色，以科學研究為優勢，以中醫藥學科為主體，醫學、理學、文學、管理學、工學、教育學等多學科協調發展的高水準、外向型、國內一流、國際知名的教學研究型中醫藥大學。</w:t>
            </w:r>
          </w:p>
          <w:p>
            <w:pPr>
              <w:pStyle w:val="2"/>
              <w:keepNext w:val="0"/>
              <w:keepLines w:val="0"/>
              <w:widowControl/>
              <w:suppressLineNumbers w:val="0"/>
              <w:spacing w:line="315" w:lineRule="atLeast"/>
              <w:ind w:left="0" w:firstLine="420"/>
              <w:rPr>
                <w:sz w:val="21"/>
                <w:szCs w:val="21"/>
              </w:rPr>
            </w:pPr>
            <w:r>
              <w:rPr>
                <w:rStyle w:val="5"/>
                <w:rFonts w:hint="eastAsia" w:ascii="SimSun" w:hAnsi="SimSun" w:eastAsia="SimSun" w:cs="SimSun"/>
                <w:i w:val="0"/>
                <w:caps w:val="0"/>
                <w:color w:val="000000"/>
                <w:spacing w:val="0"/>
                <w:sz w:val="21"/>
                <w:szCs w:val="21"/>
              </w:rPr>
              <w:t>顯著的學科專業優勢。</w:t>
            </w:r>
            <w:r>
              <w:rPr>
                <w:rFonts w:hint="eastAsia" w:ascii="SimSun" w:hAnsi="SimSun" w:eastAsia="SimSun" w:cs="SimSun"/>
                <w:i w:val="0"/>
                <w:caps w:val="0"/>
                <w:color w:val="000000"/>
                <w:spacing w:val="0"/>
                <w:sz w:val="21"/>
                <w:szCs w:val="21"/>
              </w:rPr>
              <w:t>學校現有針灸推拿學和中醫內科學2個國家級重點學科，入選國家公佈的世界一流大學和一流學科建設高校名單，中藥學科入選“雙一流”建設學科。為教育部高等學校中醫學、醫學人文素質教學指導委員會和世界中醫藥學會聯合會教育指導委員會主任委員單位。</w:t>
            </w:r>
          </w:p>
          <w:p>
            <w:pPr>
              <w:pStyle w:val="2"/>
              <w:keepNext w:val="0"/>
              <w:keepLines w:val="0"/>
              <w:widowControl/>
              <w:suppressLineNumbers w:val="0"/>
              <w:spacing w:line="315" w:lineRule="atLeast"/>
              <w:ind w:left="0" w:firstLine="420"/>
              <w:rPr>
                <w:sz w:val="21"/>
                <w:szCs w:val="21"/>
              </w:rPr>
            </w:pPr>
            <w:r>
              <w:rPr>
                <w:rStyle w:val="5"/>
                <w:rFonts w:hint="eastAsia" w:ascii="SimSun" w:hAnsi="SimSun" w:eastAsia="SimSun" w:cs="SimSun"/>
                <w:i w:val="0"/>
                <w:caps w:val="0"/>
                <w:color w:val="000000"/>
                <w:spacing w:val="0"/>
                <w:sz w:val="21"/>
                <w:szCs w:val="21"/>
              </w:rPr>
              <w:t>廣泛的國際交流合作。</w:t>
            </w:r>
            <w:r>
              <w:rPr>
                <w:rFonts w:hint="eastAsia" w:ascii="SimSun" w:hAnsi="SimSun" w:eastAsia="SimSun" w:cs="SimSun"/>
                <w:i w:val="0"/>
                <w:caps w:val="0"/>
                <w:color w:val="000000"/>
                <w:spacing w:val="0"/>
                <w:sz w:val="21"/>
                <w:szCs w:val="21"/>
              </w:rPr>
              <w:t>學校作為教育部“教育援外基地”、“中國—東盟教育培訓中心”，國家中醫藥管理局“中醫藥國際合作基地”、“一帶一路中醫藥國際教育培訓基地”，廣泛開展中醫藥對外教育培訓工作，每年有來自50多個國家和地區的2000余名國際學生及港澳臺學生到校長短期學習。與50多個國家和地區的70余所大學、科研院所、醫療機構建立了合作與交流關係。與英國諾丁漢大學聯辦臨床藥學專業中外合作辦學專案，與日本千葉大學、大阪大學等知名高校開展交換生專案，在海外建有天津中醫藥大學中藥學院日本校，在日本、泰國建有中醫孔子課堂/學院，已成為天津市中醫藥對外交流的重要視窗。</w:t>
            </w:r>
          </w:p>
          <w:p>
            <w:pPr>
              <w:pStyle w:val="2"/>
              <w:keepNext w:val="0"/>
              <w:keepLines w:val="0"/>
              <w:widowControl/>
              <w:suppressLineNumbers w:val="0"/>
              <w:spacing w:line="315" w:lineRule="atLeast"/>
              <w:ind w:left="0" w:firstLine="420"/>
              <w:rPr>
                <w:sz w:val="21"/>
                <w:szCs w:val="21"/>
              </w:rPr>
            </w:pPr>
            <w:r>
              <w:rPr>
                <w:rStyle w:val="5"/>
                <w:rFonts w:hint="eastAsia" w:ascii="SimSun" w:hAnsi="SimSun" w:eastAsia="SimSun" w:cs="SimSun"/>
                <w:i w:val="0"/>
                <w:caps w:val="0"/>
                <w:color w:val="000000"/>
                <w:spacing w:val="0"/>
                <w:sz w:val="21"/>
                <w:szCs w:val="21"/>
              </w:rPr>
              <w:t>完善的臨床實習配套。</w:t>
            </w:r>
            <w:r>
              <w:rPr>
                <w:rFonts w:hint="eastAsia" w:ascii="SimSun" w:hAnsi="SimSun" w:eastAsia="SimSun" w:cs="SimSun"/>
                <w:i w:val="0"/>
                <w:caps w:val="0"/>
                <w:color w:val="000000"/>
                <w:spacing w:val="0"/>
                <w:sz w:val="21"/>
                <w:szCs w:val="21"/>
              </w:rPr>
              <w:t>學校現有3所直屬附屬醫院和5所教學醫院。第一附屬醫院為國家臨床研究基地、全國針灸臨床研究中心、全國針灸臨床基地和全國省級示範中醫醫院，第二附屬醫院是中醫疑難病診療中心，兩所附屬醫院病床合計3500張，日門診量超過萬人。</w:t>
            </w:r>
          </w:p>
          <w:p>
            <w:pPr>
              <w:pStyle w:val="2"/>
              <w:keepNext w:val="0"/>
              <w:keepLines w:val="0"/>
              <w:widowControl/>
              <w:suppressLineNumbers w:val="0"/>
              <w:spacing w:line="315" w:lineRule="atLeast"/>
              <w:ind w:left="0" w:firstLine="420"/>
              <w:rPr>
                <w:sz w:val="21"/>
                <w:szCs w:val="21"/>
              </w:rPr>
            </w:pPr>
            <w:r>
              <w:rPr>
                <w:rStyle w:val="5"/>
                <w:rFonts w:hint="eastAsia" w:ascii="SimSun" w:hAnsi="SimSun" w:eastAsia="SimSun" w:cs="SimSun"/>
                <w:i w:val="0"/>
                <w:caps w:val="0"/>
                <w:color w:val="000000"/>
                <w:spacing w:val="0"/>
                <w:sz w:val="21"/>
                <w:szCs w:val="21"/>
              </w:rPr>
              <w:t>面向臺灣學生設有獎學金。</w:t>
            </w:r>
            <w:r>
              <w:rPr>
                <w:rFonts w:hint="eastAsia" w:ascii="SimSun" w:hAnsi="SimSun" w:eastAsia="SimSun" w:cs="SimSun"/>
                <w:i w:val="0"/>
                <w:caps w:val="0"/>
                <w:color w:val="000000"/>
                <w:spacing w:val="0"/>
                <w:sz w:val="21"/>
                <w:szCs w:val="21"/>
              </w:rPr>
              <w:t>學校設有各類獎學金，其中面向臺灣學生有臺灣、港澳及華僑學生獎學金及天津中醫藥大學獎學金。</w:t>
            </w:r>
          </w:p>
          <w:p>
            <w:pPr>
              <w:pStyle w:val="2"/>
              <w:keepNext w:val="0"/>
              <w:keepLines w:val="0"/>
              <w:widowControl/>
              <w:suppressLineNumbers w:val="0"/>
              <w:spacing w:line="315" w:lineRule="atLeast"/>
              <w:ind w:left="0" w:firstLine="420"/>
              <w:rPr>
                <w:sz w:val="21"/>
                <w:szCs w:val="21"/>
              </w:rPr>
            </w:pPr>
            <w:r>
              <w:rPr>
                <w:rStyle w:val="4"/>
                <w:rFonts w:hint="eastAsia" w:ascii="SimSun" w:hAnsi="SimSun" w:eastAsia="SimSun" w:cs="SimSun"/>
                <w:i w:val="0"/>
                <w:caps w:val="0"/>
                <w:color w:val="000000"/>
                <w:spacing w:val="0"/>
                <w:sz w:val="21"/>
                <w:szCs w:val="21"/>
              </w:rPr>
              <w:t>一、報名資格</w:t>
            </w:r>
          </w:p>
          <w:p>
            <w:pPr>
              <w:pStyle w:val="2"/>
              <w:keepNext w:val="0"/>
              <w:keepLines w:val="0"/>
              <w:widowControl/>
              <w:suppressLineNumbers w:val="0"/>
              <w:spacing w:line="315" w:lineRule="atLeast"/>
              <w:ind w:left="0" w:firstLine="420"/>
              <w:rPr>
                <w:sz w:val="21"/>
                <w:szCs w:val="21"/>
              </w:rPr>
            </w:pPr>
            <w:r>
              <w:rPr>
                <w:rFonts w:hint="eastAsia" w:ascii="SimSun" w:hAnsi="SimSun" w:eastAsia="SimSun" w:cs="SimSun"/>
                <w:i w:val="0"/>
                <w:caps w:val="0"/>
                <w:color w:val="000000"/>
                <w:spacing w:val="0"/>
                <w:sz w:val="21"/>
                <w:szCs w:val="21"/>
              </w:rPr>
              <w:t>1.具有在臺灣居住的有效身份證明和《臺灣居民往來大陸通行證》；</w:t>
            </w:r>
          </w:p>
          <w:p>
            <w:pPr>
              <w:pStyle w:val="2"/>
              <w:keepNext w:val="0"/>
              <w:keepLines w:val="0"/>
              <w:widowControl/>
              <w:suppressLineNumbers w:val="0"/>
              <w:spacing w:line="315" w:lineRule="atLeast"/>
              <w:ind w:left="0" w:firstLine="420"/>
              <w:rPr>
                <w:sz w:val="21"/>
                <w:szCs w:val="21"/>
              </w:rPr>
            </w:pPr>
            <w:r>
              <w:rPr>
                <w:rFonts w:hint="eastAsia" w:ascii="SimSun" w:hAnsi="SimSun" w:eastAsia="SimSun" w:cs="SimSun"/>
                <w:i w:val="0"/>
                <w:caps w:val="0"/>
                <w:color w:val="000000"/>
                <w:spacing w:val="0"/>
                <w:sz w:val="21"/>
                <w:szCs w:val="21"/>
              </w:rPr>
              <w:t>2.參加臺灣地區大學入學考試學科能力測試（簡稱學測）成績達到</w:t>
            </w:r>
            <w:bookmarkStart w:id="0" w:name="_GoBack"/>
            <w:r>
              <w:rPr>
                <w:rStyle w:val="5"/>
                <w:rFonts w:hint="eastAsia" w:ascii="SimSun" w:hAnsi="SimSun" w:eastAsia="SimSun" w:cs="SimSun"/>
                <w:i w:val="0"/>
                <w:caps w:val="0"/>
                <w:color w:val="000000"/>
                <w:spacing w:val="0"/>
                <w:sz w:val="21"/>
                <w:szCs w:val="21"/>
              </w:rPr>
              <w:t>均標級</w:t>
            </w:r>
            <w:bookmarkEnd w:id="0"/>
            <w:r>
              <w:rPr>
                <w:rFonts w:hint="eastAsia" w:ascii="SimSun" w:hAnsi="SimSun" w:eastAsia="SimSun" w:cs="SimSun"/>
                <w:i w:val="0"/>
                <w:caps w:val="0"/>
                <w:color w:val="000000"/>
                <w:spacing w:val="0"/>
                <w:sz w:val="21"/>
                <w:szCs w:val="21"/>
              </w:rPr>
              <w:t>以上的高中畢業生。</w:t>
            </w:r>
          </w:p>
        </w:tc>
      </w:tr>
    </w:tbl>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三、報名方式及時間</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（1）下載申請報名表（http://iec.tjutcm.edu.cn）；</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（2）填寫好報名表後，郵寄或Email相關申請材料到我校國際教育學院招生科（在申請截止日前寄到）。</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（3）申請截止時間：自簡章發佈之日起至</w:t>
      </w:r>
      <w:r>
        <w:rPr>
          <w:rStyle w:val="4"/>
          <w:rFonts w:hint="eastAsia" w:ascii="SimSun" w:hAnsi="SimSun" w:eastAsia="SimSun" w:cs="SimSun"/>
          <w:i w:val="0"/>
          <w:caps w:val="0"/>
          <w:color w:val="000000"/>
          <w:spacing w:val="0"/>
          <w:sz w:val="21"/>
          <w:szCs w:val="21"/>
          <w:shd w:val="clear" w:fill="FFFFFF"/>
        </w:rPr>
        <w:t>2018年6月15日</w:t>
      </w:r>
      <w:r>
        <w:rPr>
          <w:rFonts w:hint="eastAsia" w:ascii="SimSun" w:hAnsi="SimSun" w:eastAsia="SimSun" w:cs="SimSun"/>
          <w:i w:val="0"/>
          <w:caps w:val="0"/>
          <w:color w:val="000000"/>
          <w:spacing w:val="0"/>
          <w:sz w:val="21"/>
          <w:szCs w:val="21"/>
          <w:shd w:val="clear" w:fill="FFFFFF"/>
        </w:rPr>
        <w:t>。</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四、申請材料</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1.完整的《天津中醫藥大學臺灣免試招收學生入學申請表》;</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2.《臺灣居民來往大陸通行證》（簡稱臺胞證）影本;</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3.往屆高中畢業生攜帶畢業證書影本;應屆高中畢業生攜帶就讀學校開具的應屆畢業生預畢業證明原件，證明上應注明學籍號;</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4.高中成績單；</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5.臺灣地區大學入學考試學科能力測試（簡稱“學測”）成績通知單影本（含報名序號）;</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6 .其它相關證明材料。</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五、選拔辦法</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我校根據申請者報名材料進行初選，初選合格的考生將進行面試。面試時間及方式由學校通知考生。</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六、錄取原則</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根據申請者的“學測”成績和面試成績等綜合考慮，擇優錄取。經學校確認錄取名單並上報中國普通高校聯合招生辦公室審核批准後，約8月中旬發放錄取通知書。</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七、學費及生活費（人民幣RMB）</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醫學科學費：5,800元／學年</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工學科學費（製藥工程專業）：5,400元／學年</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理學科學費（應用心理學專業）：5,400元／學年</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管理學科學費（市場行銷專業、公共事業管理專業、勞動與社會保障專業）：4,400元／學年</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教育學科學費（社會體育指導與管理專業）：4,400元／學年</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醫療保險費：約200-600元／學年（臺灣學生須與內地學生同樣上醫療保險）</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住宿費：約10,950-23,725元/年（新校區住宿標準待定）</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生活費（伙食及雜項）：約1,500元／月</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八、校園環境</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大學周邊有各類銀行、郵局、洗染店、健身中心、購物中心、酒店、超市和餐館等。新校區坐落於天津市靜海縣團泊湖畔，占地2600餘畝，建築面積60余萬平方米，將建設成為全國最大的中醫藥博物館、中藥植物園、全國最先進的中醫藥科技園及中醫藥國際教育中心。</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學校公寓聯繫電話：86-22-59596336；86-22-59596335。（校內住宿請提前聯繫。）</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Style w:val="4"/>
          <w:rFonts w:hint="eastAsia" w:ascii="SimSun" w:hAnsi="SimSun" w:eastAsia="SimSun" w:cs="SimSun"/>
          <w:i w:val="0"/>
          <w:caps w:val="0"/>
          <w:color w:val="000000"/>
          <w:spacing w:val="0"/>
          <w:sz w:val="21"/>
          <w:szCs w:val="21"/>
          <w:shd w:val="clear" w:fill="FFFFFF"/>
        </w:rPr>
        <w:t>九、聯繫方式</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天津中醫藥大學國際教育學院招生科</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學校地址：天津市南開區玉泉路88號（郵編：300193）</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聯繫電話：86-22-59596555；86-22-27374931</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傳真號碼：86-22-27374931</w:t>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電子郵箱：</w:t>
      </w:r>
      <w:r>
        <w:rPr>
          <w:rFonts w:hint="eastAsia" w:ascii="SimSun" w:hAnsi="SimSun" w:eastAsia="SimSun" w:cs="SimSun"/>
          <w:i w:val="0"/>
          <w:caps w:val="0"/>
          <w:color w:val="1E50A2"/>
          <w:spacing w:val="0"/>
          <w:sz w:val="21"/>
          <w:szCs w:val="21"/>
          <w:u w:val="single"/>
          <w:shd w:val="clear" w:fill="FFFFFF"/>
        </w:rPr>
        <w:fldChar w:fldCharType="begin"/>
      </w:r>
      <w:r>
        <w:rPr>
          <w:rFonts w:hint="eastAsia" w:ascii="SimSun" w:hAnsi="SimSun" w:eastAsia="SimSun" w:cs="SimSun"/>
          <w:i w:val="0"/>
          <w:caps w:val="0"/>
          <w:color w:val="1E50A2"/>
          <w:spacing w:val="0"/>
          <w:sz w:val="21"/>
          <w:szCs w:val="21"/>
          <w:u w:val="single"/>
          <w:shd w:val="clear" w:fill="FFFFFF"/>
        </w:rPr>
        <w:instrText xml:space="preserve"> HYPERLINK "mailto:tutcm@hotmail.com" </w:instrText>
      </w:r>
      <w:r>
        <w:rPr>
          <w:rFonts w:hint="eastAsia" w:ascii="SimSun" w:hAnsi="SimSun" w:eastAsia="SimSun" w:cs="SimSun"/>
          <w:i w:val="0"/>
          <w:caps w:val="0"/>
          <w:color w:val="1E50A2"/>
          <w:spacing w:val="0"/>
          <w:sz w:val="21"/>
          <w:szCs w:val="21"/>
          <w:u w:val="single"/>
          <w:shd w:val="clear" w:fill="FFFFFF"/>
        </w:rPr>
        <w:fldChar w:fldCharType="separate"/>
      </w:r>
      <w:r>
        <w:rPr>
          <w:rStyle w:val="6"/>
          <w:rFonts w:hint="eastAsia" w:ascii="SimSun" w:hAnsi="SimSun" w:eastAsia="SimSun" w:cs="SimSun"/>
          <w:i w:val="0"/>
          <w:caps w:val="0"/>
          <w:color w:val="1E50A2"/>
          <w:spacing w:val="0"/>
          <w:sz w:val="21"/>
          <w:szCs w:val="21"/>
          <w:u w:val="single"/>
          <w:shd w:val="clear" w:fill="FFFFFF"/>
        </w:rPr>
        <w:t>tutcm@hotmail.com</w:t>
      </w:r>
      <w:r>
        <w:rPr>
          <w:rFonts w:hint="eastAsia" w:ascii="SimSun" w:hAnsi="SimSun" w:eastAsia="SimSun" w:cs="SimSun"/>
          <w:i w:val="0"/>
          <w:caps w:val="0"/>
          <w:color w:val="1E50A2"/>
          <w:spacing w:val="0"/>
          <w:sz w:val="21"/>
          <w:szCs w:val="21"/>
          <w:u w:val="single"/>
          <w:shd w:val="clear" w:fill="FFFFFF"/>
        </w:rPr>
        <w:fldChar w:fldCharType="end"/>
      </w:r>
    </w:p>
    <w:p>
      <w:pPr>
        <w:pStyle w:val="2"/>
        <w:keepNext w:val="0"/>
        <w:keepLines w:val="0"/>
        <w:widowControl/>
        <w:suppressLineNumbers w:val="0"/>
        <w:shd w:val="clear" w:fill="FFFFFF"/>
        <w:spacing w:line="315" w:lineRule="atLeast"/>
        <w:ind w:lef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學校網址：</w:t>
      </w:r>
      <w:r>
        <w:rPr>
          <w:rFonts w:hint="eastAsia" w:ascii="SimSun" w:hAnsi="SimSun" w:eastAsia="SimSun" w:cs="SimSun"/>
          <w:i w:val="0"/>
          <w:caps w:val="0"/>
          <w:color w:val="1E50A2"/>
          <w:spacing w:val="0"/>
          <w:sz w:val="21"/>
          <w:szCs w:val="21"/>
          <w:u w:val="single"/>
          <w:shd w:val="clear" w:fill="FFFFFF"/>
        </w:rPr>
        <w:fldChar w:fldCharType="begin"/>
      </w:r>
      <w:r>
        <w:rPr>
          <w:rFonts w:hint="eastAsia" w:ascii="SimSun" w:hAnsi="SimSun" w:eastAsia="SimSun" w:cs="SimSun"/>
          <w:i w:val="0"/>
          <w:caps w:val="0"/>
          <w:color w:val="1E50A2"/>
          <w:spacing w:val="0"/>
          <w:sz w:val="21"/>
          <w:szCs w:val="21"/>
          <w:u w:val="single"/>
          <w:shd w:val="clear" w:fill="FFFFFF"/>
        </w:rPr>
        <w:instrText xml:space="preserve"> HYPERLINK "http://www.tjutcm.edu.cn/" </w:instrText>
      </w:r>
      <w:r>
        <w:rPr>
          <w:rFonts w:hint="eastAsia" w:ascii="SimSun" w:hAnsi="SimSun" w:eastAsia="SimSun" w:cs="SimSun"/>
          <w:i w:val="0"/>
          <w:caps w:val="0"/>
          <w:color w:val="1E50A2"/>
          <w:spacing w:val="0"/>
          <w:sz w:val="21"/>
          <w:szCs w:val="21"/>
          <w:u w:val="single"/>
          <w:shd w:val="clear" w:fill="FFFFFF"/>
        </w:rPr>
        <w:fldChar w:fldCharType="separate"/>
      </w:r>
      <w:r>
        <w:rPr>
          <w:rStyle w:val="6"/>
          <w:rFonts w:hint="eastAsia" w:ascii="SimSun" w:hAnsi="SimSun" w:eastAsia="SimSun" w:cs="SimSun"/>
          <w:i w:val="0"/>
          <w:caps w:val="0"/>
          <w:color w:val="1E50A2"/>
          <w:spacing w:val="0"/>
          <w:sz w:val="21"/>
          <w:szCs w:val="21"/>
          <w:u w:val="single"/>
          <w:shd w:val="clear" w:fill="FFFFFF"/>
        </w:rPr>
        <w:t>www.tjutcm.edu.cn</w:t>
      </w:r>
      <w:r>
        <w:rPr>
          <w:rFonts w:hint="eastAsia" w:ascii="SimSun" w:hAnsi="SimSun" w:eastAsia="SimSun" w:cs="SimSun"/>
          <w:i w:val="0"/>
          <w:caps w:val="0"/>
          <w:color w:val="1E50A2"/>
          <w:spacing w:val="0"/>
          <w:sz w:val="21"/>
          <w:szCs w:val="21"/>
          <w:u w:val="single"/>
          <w:shd w:val="clear" w:fill="FFFFFF"/>
        </w:rPr>
        <w:fldChar w:fldCharType="end"/>
      </w:r>
    </w:p>
    <w:p>
      <w:pPr>
        <w:pStyle w:val="2"/>
        <w:keepNext w:val="0"/>
        <w:keepLines w:val="0"/>
        <w:widowControl/>
        <w:suppressLineNumbers w:val="0"/>
        <w:shd w:val="clear" w:fill="FFFFFF"/>
        <w:spacing w:before="0" w:beforeAutospacing="1" w:after="0" w:afterAutospacing="1" w:line="315" w:lineRule="atLeast"/>
        <w:ind w:left="0" w:right="0" w:firstLine="420"/>
        <w:rPr>
          <w:rFonts w:hint="eastAsia" w:ascii="SimSun" w:hAnsi="SimSun" w:eastAsia="SimSun" w:cs="SimSun"/>
          <w:i w:val="0"/>
          <w:caps w:val="0"/>
          <w:color w:val="000000"/>
          <w:spacing w:val="0"/>
          <w:sz w:val="21"/>
          <w:szCs w:val="21"/>
        </w:rPr>
      </w:pPr>
      <w:r>
        <w:rPr>
          <w:rFonts w:hint="eastAsia" w:ascii="SimSun" w:hAnsi="SimSun" w:eastAsia="SimSun" w:cs="SimSun"/>
          <w:i w:val="0"/>
          <w:caps w:val="0"/>
          <w:color w:val="000000"/>
          <w:spacing w:val="0"/>
          <w:sz w:val="21"/>
          <w:szCs w:val="21"/>
          <w:shd w:val="clear" w:fill="FFFFFF"/>
        </w:rPr>
        <w:t>對台招生資訊網站：iec.tjutcm.edu.cn</w:t>
      </w:r>
    </w:p>
    <w:p/>
    <w:p/>
    <w:p/>
    <w:p/>
    <w:p/>
    <w:p/>
    <w:p/>
    <w:p/>
    <w:p/>
    <w:p/>
    <w:p/>
    <w:p/>
    <w:p/>
    <w:p/>
    <w:p/>
    <w:p/>
    <w:p/>
    <w:p/>
    <w:p>
      <w:pPr>
        <w:rPr>
          <w:rFonts w:hint="eastAsia" w:eastAsiaTheme="minorEastAsia"/>
          <w:lang w:eastAsia="zh-CN"/>
        </w:rPr>
      </w:pPr>
      <w:r>
        <w:rPr>
          <w:rFonts w:hint="eastAsia"/>
          <w:lang w:eastAsia="zh-CN"/>
        </w:rPr>
        <w:t>網址：http://iec.tjutcm.edu.cn/info/1039/2651.htm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3D2E6A"/>
    <w:rsid w:val="5D3D2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Emphasis"/>
    <w:basedOn w:val="3"/>
    <w:qFormat/>
    <w:uiPriority w:val="0"/>
    <w:rPr>
      <w:i/>
    </w:rPr>
  </w:style>
  <w:style w:type="character" w:styleId="6">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2018-02-26T02:11:00Z</dcterms:created>
  <dc:creator>user</dc:creator>
  <cp:lastModifiedBy>user</cp:lastModifiedBy>
  <dcterms:modified xsi:type="dcterms:W3CDTF">2018-02-26T02:14:37Z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