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462" w:lineRule="atLeast"/>
        <w:ind w:left="0" w:leftChars="0" w:right="0" w:rightChars="0"/>
        <w:jc w:val="both"/>
        <w:textAlignment w:val="auto"/>
        <w:outlineLvl w:val="9"/>
        <w:rPr>
          <w:b/>
          <w:color w:val="000000"/>
          <w:sz w:val="22"/>
          <w:szCs w:val="22"/>
        </w:rPr>
      </w:pPr>
      <w:r>
        <w:rPr>
          <w:rFonts w:ascii="SimSun" w:hAnsi="SimSun" w:eastAsia="SimSun" w:cs="SimSun"/>
          <w:b/>
          <w:color w:val="000000"/>
          <w:kern w:val="0"/>
          <w:sz w:val="22"/>
          <w:szCs w:val="22"/>
          <w:lang w:val="en-US" w:eastAsia="zh-CN" w:bidi="ar"/>
        </w:rPr>
        <w:t>鄭州大學2018年依據臺灣地區大學入學考試學科能力測試成績招收臺灣學生簡章</w:t>
      </w:r>
    </w:p>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462" w:lineRule="atLeast"/>
        <w:ind w:left="0" w:leftChars="0" w:right="0" w:rightChars="0"/>
        <w:jc w:val="both"/>
        <w:textAlignment w:val="auto"/>
        <w:outlineLvl w:val="9"/>
      </w:pPr>
    </w:p>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462" w:lineRule="atLeast"/>
        <w:ind w:left="0" w:leftChars="0" w:right="0" w:rightChars="0"/>
        <w:jc w:val="both"/>
        <w:textAlignment w:val="auto"/>
        <w:outlineLvl w:val="9"/>
      </w:pPr>
      <w:r>
        <w:rPr>
          <w:rFonts w:hint="eastAsia" w:ascii="FangSong" w:hAnsi="FangSong" w:eastAsia="FangSong" w:cs="FangSong"/>
          <w:b/>
          <w:sz w:val="22"/>
          <w:szCs w:val="22"/>
        </w:rPr>
        <w:t>一、</w:t>
      </w:r>
      <w:r>
        <w:rPr>
          <w:rStyle w:val="4"/>
          <w:rFonts w:hint="eastAsia" w:ascii="FangSong" w:hAnsi="FangSong" w:eastAsia="FangSong" w:cs="FangSong"/>
          <w:b/>
          <w:sz w:val="22"/>
          <w:szCs w:val="22"/>
        </w:rPr>
        <w:t>學校簡介</w:t>
      </w:r>
    </w:p>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462" w:lineRule="atLeast"/>
        <w:ind w:left="0" w:leftChars="0" w:right="0" w:rightChars="0" w:firstLine="444"/>
        <w:jc w:val="both"/>
        <w:textAlignment w:val="auto"/>
        <w:outlineLvl w:val="9"/>
      </w:pPr>
      <w:r>
        <w:rPr>
          <w:rFonts w:hint="eastAsia" w:ascii="FangSong" w:hAnsi="FangSong" w:eastAsia="FangSong" w:cs="FangSong"/>
          <w:sz w:val="22"/>
          <w:szCs w:val="22"/>
        </w:rPr>
        <w:t>鄭州大學是入選國家“世界一流大學和一流學科”建設高校、國家“211工程”重點建設高校、國家“中西部高校提升綜合實力計畫”入選高校、河南省人民政府與教育部共建高校。</w:t>
      </w:r>
    </w:p>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462" w:lineRule="atLeast"/>
        <w:ind w:left="0" w:leftChars="0" w:right="0" w:rightChars="0" w:firstLine="444"/>
        <w:jc w:val="both"/>
        <w:textAlignment w:val="auto"/>
        <w:outlineLvl w:val="9"/>
      </w:pPr>
      <w:r>
        <w:rPr>
          <w:rFonts w:hint="eastAsia" w:ascii="FangSong" w:hAnsi="FangSong" w:eastAsia="FangSong" w:cs="FangSong"/>
          <w:sz w:val="22"/>
          <w:szCs w:val="22"/>
        </w:rPr>
        <w:t>鄭州大學設有哲學、經濟學、法學、教育學、文學、歷史學、理學、工學、農學、醫學、管理學、藝術學12大學科門類，各學科門類均衡發展；有凝聚態物理、材料加工工程、中國古代史、有機化學、化學工藝、病理學與病理生理學國家重點（培育）學科6個；化學、材料科學、臨床醫學、工程學、藥理學與毒理學5個學科（領域）ESI排名全球前1％，化學、臨床醫學ESI排名進入全球前3‰。</w:t>
      </w:r>
    </w:p>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462" w:lineRule="atLeast"/>
        <w:ind w:left="0" w:leftChars="0" w:right="0" w:rightChars="0" w:firstLine="444"/>
        <w:jc w:val="both"/>
        <w:textAlignment w:val="auto"/>
        <w:outlineLvl w:val="9"/>
      </w:pPr>
      <w:r>
        <w:rPr>
          <w:rFonts w:hint="eastAsia" w:ascii="FangSong" w:hAnsi="FangSong" w:eastAsia="FangSong" w:cs="FangSong"/>
          <w:sz w:val="22"/>
          <w:szCs w:val="22"/>
        </w:rPr>
        <w:t>鄭州大學堅持開放辦學，與美國、英國等41個國家和地區的205所知名高校建立校際合作關係，與美國威斯康辛大學、白俄羅斯國立音樂學院等國外高校合作開展8個中外合作辦學項目，在印度設立有孔子學院，在美國設立有孔子課堂。</w:t>
      </w:r>
    </w:p>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462" w:lineRule="atLeast"/>
        <w:ind w:left="0" w:leftChars="0" w:right="0" w:rightChars="0" w:firstLine="444"/>
        <w:jc w:val="both"/>
        <w:textAlignment w:val="auto"/>
        <w:outlineLvl w:val="9"/>
      </w:pPr>
      <w:r>
        <w:rPr>
          <w:rFonts w:hint="eastAsia" w:ascii="FangSong" w:hAnsi="FangSong" w:eastAsia="FangSong" w:cs="FangSong"/>
          <w:sz w:val="22"/>
          <w:szCs w:val="22"/>
        </w:rPr>
        <w:t>鄭州大學坐落於鄭州。鄭州是國家中心城市、河南省省會，是國家歷史文化名城，是華夏文明重要發祥地之一，為中華人文始祖軒轅黃帝的故里，是“中國八大古都”之一和世界歷史都市聯盟成員。</w:t>
      </w:r>
    </w:p>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462" w:lineRule="atLeast"/>
        <w:ind w:left="0" w:leftChars="0" w:right="0" w:rightChars="0" w:firstLine="444"/>
        <w:jc w:val="both"/>
        <w:textAlignment w:val="auto"/>
        <w:outlineLvl w:val="9"/>
      </w:pPr>
      <w:r>
        <w:rPr>
          <w:rFonts w:hint="eastAsia" w:ascii="FangSong" w:hAnsi="FangSong" w:eastAsia="FangSong" w:cs="FangSong"/>
          <w:sz w:val="22"/>
          <w:szCs w:val="22"/>
          <w:shd w:val="clear" w:fill="FFFFFF"/>
        </w:rPr>
        <w:t>根據《教育部關於普通高等學校依據臺灣地區大學入學考試學科能力測驗成績招收臺灣高中畢業生相關事項的通知》（教港澳臺函 [2017]56號）精神，我校2018年繼續根據臺灣地區當年大學入學考試學科能力測驗（簡稱“學測”）成績，招收符合相關條件的臺灣高中畢業生。</w:t>
      </w:r>
    </w:p>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462" w:lineRule="atLeast"/>
        <w:ind w:left="0" w:leftChars="0" w:right="0" w:rightChars="0"/>
        <w:jc w:val="both"/>
        <w:textAlignment w:val="auto"/>
        <w:outlineLvl w:val="9"/>
      </w:pPr>
      <w:r>
        <w:rPr>
          <w:rFonts w:hint="eastAsia" w:ascii="FangSong" w:hAnsi="FangSong" w:eastAsia="FangSong" w:cs="FangSong"/>
          <w:b/>
          <w:sz w:val="22"/>
          <w:szCs w:val="22"/>
        </w:rPr>
        <w:t>二、</w:t>
      </w:r>
      <w:r>
        <w:rPr>
          <w:rStyle w:val="4"/>
          <w:rFonts w:hint="eastAsia" w:ascii="FangSong" w:hAnsi="FangSong" w:eastAsia="FangSong" w:cs="FangSong"/>
          <w:b/>
          <w:sz w:val="22"/>
          <w:szCs w:val="22"/>
        </w:rPr>
        <w:t>報名資格</w:t>
      </w:r>
    </w:p>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462" w:lineRule="atLeast"/>
        <w:ind w:left="0" w:leftChars="0" w:right="0" w:rightChars="0" w:firstLine="564"/>
        <w:jc w:val="both"/>
        <w:textAlignment w:val="auto"/>
        <w:outlineLvl w:val="9"/>
      </w:pPr>
      <w:r>
        <w:rPr>
          <w:rFonts w:hint="eastAsia" w:ascii="FangSong" w:hAnsi="FangSong" w:eastAsia="FangSong" w:cs="FangSong"/>
          <w:sz w:val="25"/>
          <w:szCs w:val="25"/>
        </w:rPr>
        <w:t>1. </w:t>
      </w:r>
      <w:r>
        <w:rPr>
          <w:rFonts w:hint="eastAsia" w:ascii="FangSong" w:hAnsi="FangSong" w:eastAsia="FangSong" w:cs="FangSong"/>
          <w:sz w:val="22"/>
          <w:szCs w:val="22"/>
        </w:rPr>
        <w:t>具有在臺灣居住的有效身份證明和《臺灣居民來往大陸通行證》。</w:t>
      </w:r>
    </w:p>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462" w:lineRule="atLeast"/>
        <w:ind w:left="0" w:leftChars="0" w:right="0" w:rightChars="0" w:firstLine="564"/>
        <w:jc w:val="both"/>
        <w:textAlignment w:val="auto"/>
        <w:outlineLvl w:val="9"/>
      </w:pPr>
      <w:r>
        <w:rPr>
          <w:rFonts w:hint="eastAsia" w:ascii="FangSong" w:hAnsi="FangSong" w:eastAsia="FangSong" w:cs="FangSong"/>
          <w:sz w:val="25"/>
          <w:szCs w:val="25"/>
        </w:rPr>
        <w:t>2. </w:t>
      </w:r>
      <w:r>
        <w:rPr>
          <w:rFonts w:hint="eastAsia" w:ascii="FangSong" w:hAnsi="FangSong" w:eastAsia="FangSong" w:cs="FangSong"/>
          <w:sz w:val="22"/>
          <w:szCs w:val="22"/>
        </w:rPr>
        <w:t>參加臺灣地區當年大學入學考試學科能力測驗（簡稱“學測”）成績達到均標級以上的高中畢業生。</w:t>
      </w:r>
    </w:p>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462" w:lineRule="atLeast"/>
        <w:ind w:left="0" w:leftChars="0" w:right="0" w:rightChars="0" w:firstLine="564"/>
        <w:jc w:val="both"/>
        <w:textAlignment w:val="auto"/>
        <w:outlineLvl w:val="9"/>
      </w:pPr>
      <w:r>
        <w:rPr>
          <w:rFonts w:hint="eastAsia" w:ascii="FangSong" w:hAnsi="FangSong" w:eastAsia="FangSong" w:cs="FangSong"/>
          <w:color w:val="444444"/>
          <w:sz w:val="25"/>
          <w:szCs w:val="25"/>
          <w:shd w:val="clear" w:fill="FFFFFF"/>
        </w:rPr>
        <w:t>3. </w:t>
      </w:r>
      <w:r>
        <w:rPr>
          <w:rFonts w:hint="eastAsia" w:ascii="FangSong" w:hAnsi="FangSong" w:eastAsia="FangSong" w:cs="FangSong"/>
          <w:color w:val="444444"/>
          <w:sz w:val="22"/>
          <w:szCs w:val="22"/>
          <w:shd w:val="clear" w:fill="FFFFFF"/>
        </w:rPr>
        <w:t>品行端正，身體健康。</w:t>
      </w:r>
    </w:p>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462" w:lineRule="atLeast"/>
        <w:ind w:left="0" w:leftChars="0" w:right="0" w:rightChars="0" w:firstLine="0"/>
        <w:jc w:val="both"/>
        <w:textAlignment w:val="auto"/>
        <w:outlineLvl w:val="9"/>
      </w:pPr>
      <w:r>
        <w:rPr>
          <w:rStyle w:val="4"/>
          <w:rFonts w:hint="eastAsia" w:ascii="FangSong" w:hAnsi="FangSong" w:eastAsia="FangSong" w:cs="FangSong"/>
          <w:b/>
          <w:sz w:val="22"/>
          <w:szCs w:val="22"/>
        </w:rPr>
        <w:t>三、招生計畫和專業</w:t>
      </w:r>
    </w:p>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462" w:lineRule="atLeast"/>
        <w:ind w:left="0" w:leftChars="0" w:right="0" w:rightChars="0" w:firstLine="672"/>
        <w:jc w:val="both"/>
        <w:textAlignment w:val="auto"/>
        <w:outlineLvl w:val="9"/>
      </w:pPr>
      <w:r>
        <w:rPr>
          <w:rFonts w:hint="eastAsia" w:ascii="FangSong" w:hAnsi="FangSong" w:eastAsia="FangSong" w:cs="FangSong"/>
          <w:sz w:val="22"/>
          <w:szCs w:val="22"/>
        </w:rPr>
        <w:t> 2018年我校計畫招收臺灣免試生20名，將結合考生志願填報、專業培養需求和生源情況作相應確定。招生專業詳見《鄭州大學2018年免試招收臺灣本科學生招生專業》（附件一）。</w:t>
      </w:r>
    </w:p>
    <w:p>
      <w:pPr>
        <w:pStyle w:val="2"/>
        <w:keepNext w:val="0"/>
        <w:keepLines w:val="0"/>
        <w:pageBreakBefore w:val="0"/>
        <w:widowControl/>
        <w:suppressLineNumbers w:val="0"/>
        <w:shd w:val="clear" w:fill="FFFFFF"/>
        <w:kinsoku/>
        <w:wordWrap/>
        <w:overflowPunct/>
        <w:topLinePunct w:val="0"/>
        <w:autoSpaceDE/>
        <w:autoSpaceDN/>
        <w:bidi w:val="0"/>
        <w:adjustRightInd/>
        <w:snapToGrid w:val="0"/>
        <w:spacing w:before="0" w:beforeAutospacing="0" w:after="0" w:afterAutospacing="0" w:line="420" w:lineRule="atLeast"/>
        <w:ind w:left="0" w:leftChars="0" w:right="0" w:rightChars="0"/>
        <w:jc w:val="both"/>
        <w:textAlignment w:val="auto"/>
        <w:outlineLvl w:val="9"/>
      </w:pPr>
      <w:r>
        <w:rPr>
          <w:rStyle w:val="4"/>
          <w:rFonts w:hint="eastAsia" w:ascii="FangSong" w:hAnsi="FangSong" w:eastAsia="FangSong" w:cs="FangSong"/>
          <w:b/>
          <w:sz w:val="22"/>
          <w:szCs w:val="22"/>
          <w:shd w:val="clear" w:fill="FFFFFF"/>
        </w:rPr>
        <w:t>四、申請方式</w:t>
      </w:r>
    </w:p>
    <w:p>
      <w:pPr>
        <w:pStyle w:val="2"/>
        <w:keepNext w:val="0"/>
        <w:keepLines w:val="0"/>
        <w:pageBreakBefore w:val="0"/>
        <w:widowControl/>
        <w:suppressLineNumbers w:val="0"/>
        <w:shd w:val="clear" w:fill="FFFFFF"/>
        <w:kinsoku/>
        <w:wordWrap/>
        <w:overflowPunct/>
        <w:topLinePunct w:val="0"/>
        <w:autoSpaceDE/>
        <w:autoSpaceDN/>
        <w:bidi w:val="0"/>
        <w:adjustRightInd/>
        <w:snapToGrid w:val="0"/>
        <w:spacing w:before="0" w:beforeAutospacing="0" w:after="0" w:afterAutospacing="0" w:line="462" w:lineRule="atLeast"/>
        <w:ind w:left="0" w:leftChars="0" w:right="0" w:rightChars="0" w:firstLine="456"/>
        <w:jc w:val="both"/>
        <w:textAlignment w:val="auto"/>
        <w:outlineLvl w:val="9"/>
      </w:pPr>
      <w:r>
        <w:rPr>
          <w:rFonts w:hint="eastAsia" w:ascii="FangSong" w:hAnsi="FangSong" w:eastAsia="FangSong" w:cs="FangSong"/>
          <w:sz w:val="22"/>
          <w:szCs w:val="22"/>
          <w:shd w:val="clear" w:fill="FFFFFF"/>
        </w:rPr>
        <w:t>於2018年4月30日前，電郵以下全部申請材料的掃描件至我校招生辦公室（zzuzhao@zzu.edu.cn）（電郵標題為“2018年鄭州大學招收臺灣高中畢業生申請材料-姓名”）。</w:t>
      </w:r>
    </w:p>
    <w:p>
      <w:pPr>
        <w:pStyle w:val="2"/>
        <w:keepNext w:val="0"/>
        <w:keepLines w:val="0"/>
        <w:pageBreakBefore w:val="0"/>
        <w:widowControl/>
        <w:suppressLineNumbers w:val="0"/>
        <w:shd w:val="clear" w:fill="FFFFFF"/>
        <w:kinsoku/>
        <w:wordWrap/>
        <w:overflowPunct/>
        <w:topLinePunct w:val="0"/>
        <w:autoSpaceDE/>
        <w:autoSpaceDN/>
        <w:bidi w:val="0"/>
        <w:adjustRightInd/>
        <w:snapToGrid w:val="0"/>
        <w:spacing w:before="0" w:beforeAutospacing="0" w:after="0" w:afterAutospacing="0" w:line="462" w:lineRule="atLeast"/>
        <w:ind w:left="0" w:leftChars="0" w:right="0" w:rightChars="0" w:firstLine="456"/>
        <w:jc w:val="both"/>
        <w:textAlignment w:val="auto"/>
        <w:outlineLvl w:val="9"/>
      </w:pPr>
      <w:r>
        <w:rPr>
          <w:rFonts w:hint="eastAsia" w:ascii="FangSong" w:hAnsi="FangSong" w:eastAsia="FangSong" w:cs="FangSong"/>
          <w:sz w:val="22"/>
          <w:szCs w:val="22"/>
          <w:shd w:val="clear" w:fill="FFFFFF"/>
        </w:rPr>
        <w:t>1. 《鄭州大學2018年招收臺灣高中畢業生入學申請表》（附件二）；</w:t>
      </w:r>
    </w:p>
    <w:p>
      <w:pPr>
        <w:pStyle w:val="2"/>
        <w:keepNext w:val="0"/>
        <w:keepLines w:val="0"/>
        <w:pageBreakBefore w:val="0"/>
        <w:widowControl/>
        <w:suppressLineNumbers w:val="0"/>
        <w:shd w:val="clear" w:fill="FFFFFF"/>
        <w:kinsoku/>
        <w:wordWrap/>
        <w:overflowPunct/>
        <w:topLinePunct w:val="0"/>
        <w:autoSpaceDE/>
        <w:autoSpaceDN/>
        <w:bidi w:val="0"/>
        <w:adjustRightInd/>
        <w:snapToGrid w:val="0"/>
        <w:spacing w:before="0" w:beforeAutospacing="0" w:after="0" w:afterAutospacing="0" w:line="462" w:lineRule="atLeast"/>
        <w:ind w:left="0" w:leftChars="0" w:right="0" w:rightChars="0" w:firstLine="456"/>
        <w:jc w:val="both"/>
        <w:textAlignment w:val="auto"/>
        <w:outlineLvl w:val="9"/>
      </w:pPr>
      <w:r>
        <w:rPr>
          <w:rFonts w:hint="eastAsia" w:ascii="FangSong" w:hAnsi="FangSong" w:eastAsia="FangSong" w:cs="FangSong"/>
          <w:sz w:val="22"/>
          <w:szCs w:val="22"/>
          <w:shd w:val="clear" w:fill="FFFFFF"/>
        </w:rPr>
        <w:t>2. 《臺灣居民來往大陸通行證》（簡稱臺胞證）；</w:t>
      </w:r>
    </w:p>
    <w:p>
      <w:pPr>
        <w:pStyle w:val="2"/>
        <w:keepNext w:val="0"/>
        <w:keepLines w:val="0"/>
        <w:pageBreakBefore w:val="0"/>
        <w:widowControl/>
        <w:suppressLineNumbers w:val="0"/>
        <w:shd w:val="clear" w:fill="FFFFFF"/>
        <w:kinsoku/>
        <w:wordWrap/>
        <w:overflowPunct/>
        <w:topLinePunct w:val="0"/>
        <w:autoSpaceDE/>
        <w:autoSpaceDN/>
        <w:bidi w:val="0"/>
        <w:adjustRightInd/>
        <w:snapToGrid w:val="0"/>
        <w:spacing w:before="0" w:beforeAutospacing="0" w:after="0" w:afterAutospacing="0" w:line="462" w:lineRule="atLeast"/>
        <w:ind w:left="0" w:leftChars="0" w:right="0" w:rightChars="0" w:firstLine="456"/>
        <w:jc w:val="both"/>
        <w:textAlignment w:val="auto"/>
        <w:outlineLvl w:val="9"/>
      </w:pPr>
      <w:r>
        <w:rPr>
          <w:rFonts w:hint="eastAsia" w:ascii="FangSong" w:hAnsi="FangSong" w:eastAsia="FangSong" w:cs="FangSong"/>
          <w:sz w:val="22"/>
          <w:szCs w:val="22"/>
          <w:shd w:val="clear" w:fill="FFFFFF"/>
        </w:rPr>
        <w:t>3. 畢業證書或就讀學校開具的應屆畢業生預畢業證明；</w:t>
      </w:r>
    </w:p>
    <w:p>
      <w:pPr>
        <w:pStyle w:val="2"/>
        <w:keepNext w:val="0"/>
        <w:keepLines w:val="0"/>
        <w:pageBreakBefore w:val="0"/>
        <w:widowControl/>
        <w:suppressLineNumbers w:val="0"/>
        <w:shd w:val="clear" w:fill="FFFFFF"/>
        <w:kinsoku/>
        <w:wordWrap/>
        <w:overflowPunct/>
        <w:topLinePunct w:val="0"/>
        <w:autoSpaceDE/>
        <w:autoSpaceDN/>
        <w:bidi w:val="0"/>
        <w:adjustRightInd/>
        <w:snapToGrid w:val="0"/>
        <w:spacing w:before="0" w:beforeAutospacing="0" w:after="0" w:afterAutospacing="0" w:line="462" w:lineRule="atLeast"/>
        <w:ind w:left="0" w:leftChars="0" w:right="0" w:rightChars="0" w:firstLine="456"/>
        <w:jc w:val="both"/>
        <w:textAlignment w:val="auto"/>
        <w:outlineLvl w:val="9"/>
      </w:pPr>
      <w:r>
        <w:rPr>
          <w:rFonts w:hint="eastAsia" w:ascii="FangSong" w:hAnsi="FangSong" w:eastAsia="FangSong" w:cs="FangSong"/>
          <w:sz w:val="22"/>
          <w:szCs w:val="22"/>
          <w:shd w:val="clear" w:fill="FFFFFF"/>
        </w:rPr>
        <w:t>4. 臺灣地區當年大學入學考試學科能力測試成績通知單（含報名序號，須加蓋學校公章）；</w:t>
      </w:r>
    </w:p>
    <w:p>
      <w:pPr>
        <w:pStyle w:val="2"/>
        <w:keepNext w:val="0"/>
        <w:keepLines w:val="0"/>
        <w:pageBreakBefore w:val="0"/>
        <w:widowControl/>
        <w:suppressLineNumbers w:val="0"/>
        <w:shd w:val="clear" w:fill="FFFFFF"/>
        <w:kinsoku/>
        <w:wordWrap/>
        <w:overflowPunct/>
        <w:topLinePunct w:val="0"/>
        <w:autoSpaceDE/>
        <w:autoSpaceDN/>
        <w:bidi w:val="0"/>
        <w:adjustRightInd/>
        <w:snapToGrid w:val="0"/>
        <w:spacing w:before="0" w:beforeAutospacing="0" w:after="0" w:afterAutospacing="0" w:line="462" w:lineRule="atLeast"/>
        <w:ind w:left="0" w:leftChars="0" w:right="0" w:rightChars="0" w:firstLine="456"/>
        <w:jc w:val="both"/>
        <w:textAlignment w:val="auto"/>
        <w:outlineLvl w:val="9"/>
      </w:pPr>
      <w:r>
        <w:rPr>
          <w:rFonts w:hint="eastAsia" w:ascii="FangSong" w:hAnsi="FangSong" w:eastAsia="FangSong" w:cs="FangSong"/>
          <w:sz w:val="22"/>
          <w:szCs w:val="22"/>
          <w:shd w:val="clear" w:fill="FFFFFF"/>
        </w:rPr>
        <w:t>5. 中學階段課外活動、社會活動和個人興趣特長，附獲獎證書和其他相關證明材料；</w:t>
      </w:r>
    </w:p>
    <w:p>
      <w:pPr>
        <w:pStyle w:val="2"/>
        <w:keepNext w:val="0"/>
        <w:keepLines w:val="0"/>
        <w:pageBreakBefore w:val="0"/>
        <w:widowControl/>
        <w:suppressLineNumbers w:val="0"/>
        <w:shd w:val="clear" w:fill="FFFFFF"/>
        <w:kinsoku/>
        <w:wordWrap/>
        <w:overflowPunct/>
        <w:topLinePunct w:val="0"/>
        <w:autoSpaceDE/>
        <w:autoSpaceDN/>
        <w:bidi w:val="0"/>
        <w:adjustRightInd/>
        <w:snapToGrid w:val="0"/>
        <w:spacing w:before="0" w:beforeAutospacing="0" w:after="0" w:afterAutospacing="0" w:line="462" w:lineRule="atLeast"/>
        <w:ind w:left="0" w:leftChars="0" w:right="0" w:rightChars="0" w:firstLine="456"/>
        <w:jc w:val="both"/>
        <w:textAlignment w:val="auto"/>
        <w:outlineLvl w:val="9"/>
      </w:pPr>
      <w:r>
        <w:rPr>
          <w:rFonts w:hint="eastAsia" w:ascii="FangSong" w:hAnsi="FangSong" w:eastAsia="FangSong" w:cs="FangSong"/>
          <w:sz w:val="22"/>
          <w:szCs w:val="22"/>
          <w:shd w:val="clear" w:fill="FFFFFF"/>
        </w:rPr>
        <w:t>6. 個人陳述。字數控制在800字之內，請另行附頁。</w:t>
      </w:r>
    </w:p>
    <w:p>
      <w:pPr>
        <w:pStyle w:val="2"/>
        <w:keepNext w:val="0"/>
        <w:keepLines w:val="0"/>
        <w:pageBreakBefore w:val="0"/>
        <w:widowControl/>
        <w:suppressLineNumbers w:val="0"/>
        <w:shd w:val="clear" w:fill="FFFFFF"/>
        <w:kinsoku/>
        <w:wordWrap/>
        <w:overflowPunct/>
        <w:topLinePunct w:val="0"/>
        <w:autoSpaceDE/>
        <w:autoSpaceDN/>
        <w:bidi w:val="0"/>
        <w:adjustRightInd/>
        <w:snapToGrid w:val="0"/>
        <w:spacing w:before="0" w:beforeAutospacing="0" w:after="0" w:afterAutospacing="0" w:line="462" w:lineRule="atLeast"/>
        <w:ind w:left="0" w:leftChars="0" w:right="0" w:rightChars="0" w:firstLine="456"/>
        <w:jc w:val="both"/>
        <w:textAlignment w:val="auto"/>
        <w:outlineLvl w:val="9"/>
      </w:pPr>
      <w:r>
        <w:rPr>
          <w:rFonts w:hint="eastAsia" w:ascii="FangSong" w:hAnsi="FangSong" w:eastAsia="FangSong" w:cs="FangSong"/>
          <w:sz w:val="22"/>
          <w:szCs w:val="22"/>
          <w:shd w:val="clear" w:fill="FFFFFF"/>
        </w:rPr>
        <w:t>注1：考生報名前應仔細核對本人是否符合報名條件，須對提交的證明材料的真實性負責。面試時需攜帶申請材料原件備查。凡不符合報考條件的考生，一經查實即予取消報名或錄取資格。</w:t>
      </w:r>
    </w:p>
    <w:p>
      <w:pPr>
        <w:pStyle w:val="2"/>
        <w:keepNext w:val="0"/>
        <w:keepLines w:val="0"/>
        <w:pageBreakBefore w:val="0"/>
        <w:widowControl/>
        <w:suppressLineNumbers w:val="0"/>
        <w:shd w:val="clear" w:fill="FFFFFF"/>
        <w:kinsoku/>
        <w:wordWrap/>
        <w:overflowPunct/>
        <w:topLinePunct w:val="0"/>
        <w:autoSpaceDE/>
        <w:autoSpaceDN/>
        <w:bidi w:val="0"/>
        <w:adjustRightInd/>
        <w:snapToGrid w:val="0"/>
        <w:spacing w:before="0" w:beforeAutospacing="0" w:after="0" w:afterAutospacing="0" w:line="462" w:lineRule="atLeast"/>
        <w:ind w:left="0" w:leftChars="0" w:right="0" w:rightChars="0" w:firstLine="456"/>
        <w:jc w:val="both"/>
        <w:textAlignment w:val="auto"/>
        <w:outlineLvl w:val="9"/>
      </w:pPr>
      <w:r>
        <w:rPr>
          <w:rFonts w:hint="eastAsia" w:ascii="FangSong" w:hAnsi="FangSong" w:eastAsia="FangSong" w:cs="FangSong"/>
          <w:sz w:val="22"/>
          <w:szCs w:val="22"/>
          <w:shd w:val="clear" w:fill="FFFFFF"/>
        </w:rPr>
        <w:t>注2：我校招生辦公室收到電子郵件將及時回復。未收到回復的考生請及時和我校招生辦公室聯繫。</w:t>
      </w:r>
    </w:p>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462" w:lineRule="atLeast"/>
        <w:ind w:left="0" w:leftChars="0" w:right="0" w:rightChars="0"/>
        <w:jc w:val="both"/>
        <w:textAlignment w:val="auto"/>
        <w:outlineLvl w:val="9"/>
      </w:pPr>
      <w:r>
        <w:rPr>
          <w:rStyle w:val="4"/>
          <w:rFonts w:hint="eastAsia" w:ascii="FangSong" w:hAnsi="FangSong" w:eastAsia="FangSong" w:cs="FangSong"/>
          <w:b/>
          <w:sz w:val="22"/>
          <w:szCs w:val="22"/>
        </w:rPr>
        <w:t>五、選拔方式</w:t>
      </w:r>
    </w:p>
    <w:p>
      <w:pPr>
        <w:pStyle w:val="2"/>
        <w:keepNext w:val="0"/>
        <w:keepLines w:val="0"/>
        <w:pageBreakBefore w:val="0"/>
        <w:widowControl/>
        <w:suppressLineNumbers w:val="0"/>
        <w:shd w:val="clear" w:fill="FFFFFF"/>
        <w:kinsoku/>
        <w:wordWrap/>
        <w:overflowPunct/>
        <w:topLinePunct w:val="0"/>
        <w:autoSpaceDE/>
        <w:autoSpaceDN/>
        <w:bidi w:val="0"/>
        <w:adjustRightInd/>
        <w:snapToGrid w:val="0"/>
        <w:spacing w:before="0" w:beforeAutospacing="0" w:after="0" w:afterAutospacing="0" w:line="462" w:lineRule="atLeast"/>
        <w:ind w:left="0" w:leftChars="0" w:right="0" w:rightChars="0" w:firstLine="444"/>
        <w:jc w:val="both"/>
        <w:textAlignment w:val="auto"/>
        <w:outlineLvl w:val="9"/>
      </w:pPr>
      <w:r>
        <w:rPr>
          <w:rFonts w:hint="eastAsia" w:ascii="FangSong" w:hAnsi="FangSong" w:eastAsia="FangSong" w:cs="FangSong"/>
          <w:sz w:val="22"/>
          <w:szCs w:val="22"/>
          <w:shd w:val="clear" w:fill="FFFFFF"/>
        </w:rPr>
        <w:t>1. 我校將組織專家對在規定時間內遞交的臺灣免試生申請材料進行審核，綜合考慮學生的學測成績和綜合素質等，擇優選拔進入面試考核環節的學生。</w:t>
      </w:r>
    </w:p>
    <w:p>
      <w:pPr>
        <w:pStyle w:val="2"/>
        <w:keepNext w:val="0"/>
        <w:keepLines w:val="0"/>
        <w:pageBreakBefore w:val="0"/>
        <w:widowControl/>
        <w:suppressLineNumbers w:val="0"/>
        <w:shd w:val="clear" w:fill="FFFFFF"/>
        <w:kinsoku/>
        <w:wordWrap/>
        <w:overflowPunct/>
        <w:topLinePunct w:val="0"/>
        <w:autoSpaceDE/>
        <w:autoSpaceDN/>
        <w:bidi w:val="0"/>
        <w:adjustRightInd/>
        <w:snapToGrid w:val="0"/>
        <w:spacing w:before="0" w:beforeAutospacing="0" w:after="0" w:afterAutospacing="0" w:line="462" w:lineRule="atLeast"/>
        <w:ind w:left="0" w:leftChars="0" w:right="0" w:rightChars="0" w:firstLine="444"/>
        <w:jc w:val="both"/>
        <w:textAlignment w:val="auto"/>
        <w:outlineLvl w:val="9"/>
      </w:pPr>
      <w:r>
        <w:rPr>
          <w:rFonts w:hint="eastAsia" w:ascii="FangSong" w:hAnsi="FangSong" w:eastAsia="FangSong" w:cs="FangSong"/>
          <w:sz w:val="22"/>
          <w:szCs w:val="22"/>
          <w:shd w:val="clear" w:fill="FFFFFF"/>
        </w:rPr>
        <w:t>2. 5月上旬對通過初選的學生進行面試，具體安排屆時將以電話和電郵方式通知考生本人。</w:t>
      </w:r>
    </w:p>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462" w:lineRule="atLeast"/>
        <w:ind w:left="0" w:leftChars="0" w:right="0" w:rightChars="0"/>
        <w:jc w:val="both"/>
        <w:textAlignment w:val="auto"/>
        <w:outlineLvl w:val="9"/>
      </w:pPr>
      <w:r>
        <w:rPr>
          <w:rStyle w:val="4"/>
          <w:rFonts w:hint="eastAsia" w:ascii="FangSong" w:hAnsi="FangSong" w:eastAsia="FangSong" w:cs="FangSong"/>
          <w:b/>
          <w:sz w:val="22"/>
          <w:szCs w:val="22"/>
        </w:rPr>
        <w:t>六、錄取原則</w:t>
      </w:r>
    </w:p>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462" w:lineRule="atLeast"/>
        <w:ind w:left="0" w:leftChars="0" w:right="0" w:rightChars="0" w:firstLine="444"/>
        <w:jc w:val="both"/>
        <w:textAlignment w:val="auto"/>
        <w:outlineLvl w:val="9"/>
      </w:pPr>
      <w:r>
        <w:rPr>
          <w:rFonts w:hint="eastAsia" w:ascii="FangSong" w:hAnsi="FangSong" w:eastAsia="FangSong" w:cs="FangSong"/>
          <w:sz w:val="22"/>
          <w:szCs w:val="22"/>
        </w:rPr>
        <w:t> 我校將根據學生的學測成績、面試成績和綜合素質擇優錄取。經教育部考試中心對我校上述預錄取考生進行“學測”成績確認後，我校招生辦公室將預錄取的臺灣免試生名單報送普通高等學校聯合招收華僑港澳地區及臺灣學生辦公室審核，審核合格後辦理相關錄取手續，並於 2018年7月底8月初發出正式錄取通知書。</w:t>
      </w:r>
    </w:p>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462" w:lineRule="atLeast"/>
        <w:ind w:left="0" w:leftChars="0" w:right="0" w:rightChars="0"/>
        <w:jc w:val="both"/>
        <w:textAlignment w:val="auto"/>
        <w:outlineLvl w:val="9"/>
      </w:pPr>
      <w:r>
        <w:rPr>
          <w:rStyle w:val="4"/>
          <w:rFonts w:hint="eastAsia" w:ascii="FangSong" w:hAnsi="FangSong" w:eastAsia="FangSong" w:cs="FangSong"/>
          <w:b/>
          <w:sz w:val="22"/>
          <w:szCs w:val="22"/>
        </w:rPr>
        <w:t>七、收費標準</w:t>
      </w:r>
    </w:p>
    <w:p>
      <w:pPr>
        <w:pStyle w:val="2"/>
        <w:keepNext w:val="0"/>
        <w:keepLines w:val="0"/>
        <w:pageBreakBefore w:val="0"/>
        <w:widowControl/>
        <w:suppressLineNumbers w:val="0"/>
        <w:shd w:val="clear" w:fill="FFFFFF"/>
        <w:kinsoku/>
        <w:wordWrap/>
        <w:overflowPunct/>
        <w:topLinePunct w:val="0"/>
        <w:autoSpaceDE/>
        <w:autoSpaceDN/>
        <w:bidi w:val="0"/>
        <w:adjustRightInd/>
        <w:snapToGrid w:val="0"/>
        <w:spacing w:before="0" w:beforeAutospacing="0" w:after="0" w:afterAutospacing="0" w:line="360" w:lineRule="auto"/>
        <w:ind w:left="0" w:leftChars="0" w:right="0" w:rightChars="0" w:firstLine="444"/>
        <w:jc w:val="both"/>
        <w:textAlignment w:val="auto"/>
        <w:outlineLvl w:val="9"/>
      </w:pPr>
      <w:r>
        <w:rPr>
          <w:rFonts w:hint="eastAsia" w:ascii="FangSong" w:hAnsi="FangSong" w:eastAsia="FangSong" w:cs="FangSong"/>
          <w:sz w:val="22"/>
          <w:szCs w:val="22"/>
          <w:shd w:val="clear" w:fill="FFFFFF"/>
        </w:rPr>
        <w:t> 被錄取的學生按學校規定繳納學費和雜費。收費標準與內地（大陸）學生一致。</w:t>
      </w:r>
    </w:p>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462" w:lineRule="atLeast"/>
        <w:ind w:left="0" w:leftChars="0" w:right="0" w:rightChars="0" w:firstLine="444"/>
        <w:jc w:val="both"/>
        <w:textAlignment w:val="auto"/>
        <w:outlineLvl w:val="9"/>
      </w:pPr>
      <w:r>
        <w:rPr>
          <w:rFonts w:hint="eastAsia" w:ascii="FangSong" w:hAnsi="FangSong" w:eastAsia="FangSong" w:cs="FangSong"/>
          <w:sz w:val="22"/>
          <w:szCs w:val="22"/>
        </w:rPr>
        <w:t> 學費：文科3400元/生•年；醫科4500元/生•年；藝術5700元/生•年；理工科及體育類3700元/生•年。</w:t>
      </w:r>
    </w:p>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462" w:lineRule="atLeast"/>
        <w:ind w:left="0" w:leftChars="0" w:right="0" w:rightChars="0" w:firstLine="444"/>
        <w:jc w:val="both"/>
        <w:textAlignment w:val="auto"/>
        <w:outlineLvl w:val="9"/>
      </w:pPr>
      <w:r>
        <w:rPr>
          <w:rFonts w:hint="eastAsia" w:ascii="FangSong" w:hAnsi="FangSong" w:eastAsia="FangSong" w:cs="FangSong"/>
          <w:sz w:val="22"/>
          <w:szCs w:val="22"/>
        </w:rPr>
        <w:t> 住宿費：學生原則上與內地學生統一安排住宿，住宿費不超過1100元/生•年。</w:t>
      </w:r>
    </w:p>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462" w:lineRule="atLeast"/>
        <w:ind w:left="0" w:leftChars="0" w:right="0" w:rightChars="0" w:firstLine="444"/>
        <w:jc w:val="both"/>
        <w:textAlignment w:val="auto"/>
        <w:outlineLvl w:val="9"/>
      </w:pPr>
      <w:r>
        <w:rPr>
          <w:rFonts w:hint="eastAsia" w:ascii="FangSong" w:hAnsi="FangSong" w:eastAsia="FangSong" w:cs="FangSong"/>
          <w:sz w:val="22"/>
          <w:szCs w:val="22"/>
        </w:rPr>
        <w:t> 收費標準如有變化，依據河南省物價局2018年7月前最新批文執行。</w:t>
      </w:r>
    </w:p>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462" w:lineRule="atLeast"/>
        <w:ind w:left="0" w:leftChars="0" w:right="0" w:rightChars="0"/>
        <w:jc w:val="both"/>
        <w:textAlignment w:val="auto"/>
        <w:outlineLvl w:val="9"/>
      </w:pPr>
      <w:r>
        <w:rPr>
          <w:rStyle w:val="4"/>
          <w:rFonts w:hint="eastAsia" w:ascii="FangSong" w:hAnsi="FangSong" w:eastAsia="FangSong" w:cs="FangSong"/>
          <w:b/>
          <w:sz w:val="22"/>
          <w:szCs w:val="22"/>
        </w:rPr>
        <w:t>八、在校管理及畢業</w:t>
      </w:r>
    </w:p>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462" w:lineRule="atLeast"/>
        <w:ind w:left="0" w:leftChars="0" w:right="0" w:rightChars="0" w:firstLine="564"/>
        <w:jc w:val="both"/>
        <w:textAlignment w:val="auto"/>
        <w:outlineLvl w:val="9"/>
      </w:pPr>
      <w:r>
        <w:rPr>
          <w:rFonts w:hint="eastAsia" w:ascii="FangSong" w:hAnsi="FangSong" w:eastAsia="FangSong" w:cs="FangSong"/>
          <w:sz w:val="22"/>
          <w:szCs w:val="22"/>
        </w:rPr>
        <w:t>1. 被我校錄取的學生請按照錄取通知書規定的時間到學校報到，具體事宜屆時詳見《鄭州大學2018級新生報到指南》。</w:t>
      </w:r>
    </w:p>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462" w:lineRule="atLeast"/>
        <w:ind w:left="0" w:leftChars="0" w:right="0" w:rightChars="0" w:firstLine="564"/>
        <w:jc w:val="both"/>
        <w:textAlignment w:val="auto"/>
        <w:outlineLvl w:val="9"/>
      </w:pPr>
      <w:r>
        <w:rPr>
          <w:rFonts w:hint="eastAsia" w:ascii="FangSong" w:hAnsi="FangSong" w:eastAsia="FangSong" w:cs="FangSong"/>
          <w:sz w:val="22"/>
          <w:szCs w:val="22"/>
        </w:rPr>
        <w:t> 2. 華僑、港澳地區及臺灣省學生的教育和管理均按教育部等六部門印發的《普通高等學校招收和培養香港特別行政區、澳門特別行政區及臺灣地區學生的規定》、鄭州大學對臺灣學生相關管理規定執行。</w:t>
      </w:r>
    </w:p>
    <w:p>
      <w:pPr>
        <w:pStyle w:val="2"/>
        <w:keepNext w:val="0"/>
        <w:keepLines w:val="0"/>
        <w:pageBreakBefore w:val="0"/>
        <w:widowControl/>
        <w:suppressLineNumbers w:val="0"/>
        <w:shd w:val="clear" w:fill="FFFFFF"/>
        <w:kinsoku/>
        <w:wordWrap/>
        <w:overflowPunct/>
        <w:topLinePunct w:val="0"/>
        <w:autoSpaceDE/>
        <w:autoSpaceDN/>
        <w:bidi w:val="0"/>
        <w:adjustRightInd/>
        <w:snapToGrid w:val="0"/>
        <w:spacing w:before="0" w:beforeAutospacing="0" w:after="0" w:afterAutospacing="0" w:line="360" w:lineRule="auto"/>
        <w:ind w:left="0" w:leftChars="0" w:right="0" w:rightChars="0" w:firstLine="564"/>
        <w:jc w:val="both"/>
        <w:textAlignment w:val="auto"/>
        <w:outlineLvl w:val="9"/>
      </w:pPr>
      <w:r>
        <w:rPr>
          <w:rFonts w:hint="eastAsia" w:ascii="FangSong" w:hAnsi="FangSong" w:eastAsia="FangSong" w:cs="FangSong"/>
          <w:sz w:val="22"/>
          <w:szCs w:val="22"/>
          <w:shd w:val="clear" w:fill="FFFFFF"/>
        </w:rPr>
        <w:t>3. 學生在學校規定年限內，修完教學計畫規定的內容，達到畢業要求，准予畢業，由學校頒發鄭州大學本科畢業證書。畢業生符合《中華人民共和國學位條例》規定的，頒發普通高等教育本科畢業生學士學位證書。</w:t>
      </w:r>
    </w:p>
    <w:p>
      <w:pPr>
        <w:pStyle w:val="2"/>
        <w:keepNext w:val="0"/>
        <w:keepLines w:val="0"/>
        <w:pageBreakBefore w:val="0"/>
        <w:widowControl/>
        <w:suppressLineNumbers w:val="0"/>
        <w:shd w:val="clear" w:fill="FFFFFF"/>
        <w:kinsoku/>
        <w:wordWrap/>
        <w:overflowPunct/>
        <w:topLinePunct w:val="0"/>
        <w:autoSpaceDE/>
        <w:autoSpaceDN/>
        <w:bidi w:val="0"/>
        <w:adjustRightInd/>
        <w:snapToGrid w:val="0"/>
        <w:spacing w:before="0" w:beforeAutospacing="0" w:after="0" w:afterAutospacing="0" w:line="360" w:lineRule="auto"/>
        <w:ind w:left="0" w:leftChars="0" w:right="0" w:rightChars="0" w:firstLine="564"/>
        <w:jc w:val="both"/>
        <w:textAlignment w:val="auto"/>
        <w:outlineLvl w:val="9"/>
      </w:pPr>
      <w:r>
        <w:rPr>
          <w:rFonts w:hint="eastAsia" w:ascii="FangSong" w:hAnsi="FangSong" w:eastAsia="FangSong" w:cs="FangSong"/>
          <w:sz w:val="22"/>
          <w:szCs w:val="22"/>
          <w:shd w:val="clear" w:fill="FFFFFF"/>
        </w:rPr>
        <w:t>4. 寒暑假可</w:t>
      </w:r>
      <w:r>
        <w:rPr>
          <w:rFonts w:hint="eastAsia" w:ascii="FangSong" w:hAnsi="FangSong" w:eastAsia="FangSong" w:cs="FangSong"/>
          <w:color w:val="444444"/>
          <w:sz w:val="22"/>
          <w:szCs w:val="22"/>
          <w:shd w:val="clear" w:fill="FFFFFF"/>
        </w:rPr>
        <w:t>自費離境探親訪友。學生畢業後，原則上應返回原居住地。</w:t>
      </w:r>
    </w:p>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462" w:lineRule="atLeast"/>
        <w:ind w:left="0" w:leftChars="0" w:right="0" w:rightChars="0" w:firstLine="0"/>
        <w:jc w:val="both"/>
        <w:textAlignment w:val="auto"/>
        <w:outlineLvl w:val="9"/>
      </w:pPr>
      <w:r>
        <w:rPr>
          <w:rFonts w:hint="eastAsia" w:ascii="FangSong" w:hAnsi="FangSong" w:eastAsia="FangSong" w:cs="FangSong"/>
          <w:b/>
          <w:sz w:val="22"/>
          <w:szCs w:val="22"/>
        </w:rPr>
        <w:t>九、 </w:t>
      </w:r>
      <w:r>
        <w:rPr>
          <w:rStyle w:val="4"/>
          <w:rFonts w:hint="eastAsia" w:ascii="FangSong" w:hAnsi="FangSong" w:eastAsia="FangSong" w:cs="FangSong"/>
          <w:b/>
          <w:sz w:val="22"/>
          <w:szCs w:val="22"/>
        </w:rPr>
        <w:t>獎助學金</w:t>
      </w:r>
    </w:p>
    <w:p>
      <w:pPr>
        <w:pStyle w:val="2"/>
        <w:keepNext w:val="0"/>
        <w:keepLines w:val="0"/>
        <w:pageBreakBefore w:val="0"/>
        <w:widowControl/>
        <w:suppressLineNumbers w:val="0"/>
        <w:shd w:val="clear" w:fill="FFFFFF"/>
        <w:kinsoku/>
        <w:wordWrap/>
        <w:overflowPunct/>
        <w:topLinePunct w:val="0"/>
        <w:autoSpaceDE/>
        <w:autoSpaceDN/>
        <w:bidi w:val="0"/>
        <w:adjustRightInd/>
        <w:snapToGrid w:val="0"/>
        <w:spacing w:before="0" w:beforeAutospacing="0" w:after="0" w:afterAutospacing="0" w:line="360" w:lineRule="auto"/>
        <w:ind w:left="0" w:leftChars="0" w:right="0" w:rightChars="0" w:firstLine="444"/>
        <w:jc w:val="both"/>
        <w:textAlignment w:val="auto"/>
        <w:outlineLvl w:val="9"/>
      </w:pPr>
      <w:r>
        <w:rPr>
          <w:rFonts w:hint="eastAsia" w:ascii="FangSong" w:hAnsi="FangSong" w:eastAsia="FangSong" w:cs="FangSong"/>
          <w:sz w:val="22"/>
          <w:szCs w:val="22"/>
          <w:shd w:val="clear" w:fill="FFFFFF"/>
        </w:rPr>
        <w:t>臺灣學生在讀期間可申請教育部等面向臺灣學生設立的獎學金以及校內其他各類獎學金。</w:t>
      </w:r>
    </w:p>
    <w:p>
      <w:pPr>
        <w:pStyle w:val="2"/>
        <w:keepNext w:val="0"/>
        <w:keepLines w:val="0"/>
        <w:pageBreakBefore w:val="0"/>
        <w:widowControl/>
        <w:suppressLineNumbers w:val="0"/>
        <w:shd w:val="clear" w:fill="FFFFFF"/>
        <w:kinsoku/>
        <w:wordWrap/>
        <w:overflowPunct/>
        <w:topLinePunct w:val="0"/>
        <w:autoSpaceDE/>
        <w:autoSpaceDN/>
        <w:bidi w:val="0"/>
        <w:adjustRightInd/>
        <w:snapToGrid w:val="0"/>
        <w:spacing w:before="0" w:beforeAutospacing="0" w:after="0" w:afterAutospacing="0" w:line="360" w:lineRule="auto"/>
        <w:ind w:left="0" w:leftChars="0" w:right="0" w:rightChars="0" w:firstLine="0"/>
        <w:jc w:val="both"/>
        <w:textAlignment w:val="auto"/>
        <w:outlineLvl w:val="9"/>
      </w:pPr>
      <w:r>
        <w:rPr>
          <w:rStyle w:val="4"/>
          <w:rFonts w:hint="eastAsia" w:ascii="FangSong" w:hAnsi="FangSong" w:eastAsia="FangSong" w:cs="FangSong"/>
          <w:b/>
          <w:sz w:val="22"/>
          <w:szCs w:val="22"/>
          <w:shd w:val="clear" w:fill="FFFFFF"/>
        </w:rPr>
        <w:t>十、聯繫方式</w:t>
      </w:r>
    </w:p>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462" w:lineRule="atLeast"/>
        <w:ind w:left="0" w:leftChars="0" w:right="0" w:rightChars="0" w:firstLine="444"/>
        <w:jc w:val="both"/>
        <w:textAlignment w:val="auto"/>
        <w:outlineLvl w:val="9"/>
      </w:pPr>
      <w:r>
        <w:rPr>
          <w:rFonts w:hint="eastAsia" w:ascii="FangSong" w:hAnsi="FangSong" w:eastAsia="FangSong" w:cs="FangSong"/>
          <w:sz w:val="22"/>
          <w:szCs w:val="22"/>
        </w:rPr>
        <w:t>學校地址：中國河南鄭州市科學大道100號</w:t>
      </w:r>
    </w:p>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462" w:lineRule="atLeast"/>
        <w:ind w:left="0" w:leftChars="0" w:right="0" w:rightChars="0" w:firstLine="444"/>
        <w:jc w:val="both"/>
        <w:textAlignment w:val="auto"/>
        <w:outlineLvl w:val="9"/>
      </w:pPr>
      <w:r>
        <w:rPr>
          <w:rFonts w:hint="eastAsia" w:ascii="FangSong" w:hAnsi="FangSong" w:eastAsia="FangSong" w:cs="FangSong"/>
          <w:sz w:val="22"/>
          <w:szCs w:val="22"/>
        </w:rPr>
        <w:t>郵遞區號：450001</w:t>
      </w:r>
    </w:p>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462" w:lineRule="atLeast"/>
        <w:ind w:left="0" w:leftChars="0" w:right="0" w:rightChars="0"/>
        <w:jc w:val="both"/>
        <w:textAlignment w:val="auto"/>
        <w:outlineLvl w:val="9"/>
      </w:pPr>
      <w:r>
        <w:rPr>
          <w:rFonts w:hint="eastAsia" w:ascii="FangSong" w:hAnsi="FangSong" w:eastAsia="FangSong" w:cs="FangSong"/>
          <w:sz w:val="22"/>
          <w:szCs w:val="22"/>
        </w:rPr>
        <w:t>　　學校網址：</w:t>
      </w:r>
      <w:r>
        <w:rPr>
          <w:sz w:val="16"/>
          <w:szCs w:val="16"/>
          <w:u w:val="none"/>
        </w:rPr>
        <w:fldChar w:fldCharType="begin"/>
      </w:r>
      <w:r>
        <w:rPr>
          <w:sz w:val="16"/>
          <w:szCs w:val="16"/>
          <w:u w:val="none"/>
        </w:rPr>
        <w:instrText xml:space="preserve"> HYPERLINK "http://www.zzu.edu.cn/" </w:instrText>
      </w:r>
      <w:r>
        <w:rPr>
          <w:sz w:val="16"/>
          <w:szCs w:val="16"/>
          <w:u w:val="none"/>
        </w:rPr>
        <w:fldChar w:fldCharType="separate"/>
      </w:r>
      <w:r>
        <w:rPr>
          <w:rStyle w:val="7"/>
          <w:rFonts w:hint="eastAsia" w:ascii="FangSong" w:hAnsi="FangSong" w:eastAsia="FangSong" w:cs="FangSong"/>
          <w:sz w:val="22"/>
          <w:szCs w:val="22"/>
          <w:u w:val="none"/>
        </w:rPr>
        <w:t>www.zzu.edu.cn</w:t>
      </w:r>
      <w:r>
        <w:rPr>
          <w:sz w:val="16"/>
          <w:szCs w:val="16"/>
          <w:u w:val="none"/>
        </w:rPr>
        <w:fldChar w:fldCharType="end"/>
      </w:r>
    </w:p>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462" w:lineRule="atLeast"/>
        <w:ind w:left="0" w:leftChars="0" w:right="0" w:rightChars="0"/>
        <w:jc w:val="both"/>
        <w:textAlignment w:val="auto"/>
        <w:outlineLvl w:val="9"/>
      </w:pPr>
      <w:r>
        <w:rPr>
          <w:rFonts w:hint="eastAsia" w:ascii="FangSong" w:hAnsi="FangSong" w:eastAsia="FangSong" w:cs="FangSong"/>
          <w:sz w:val="22"/>
          <w:szCs w:val="22"/>
        </w:rPr>
        <w:t>　　聯繫單位：鄭州大學招生辦公室</w:t>
      </w:r>
    </w:p>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462" w:lineRule="atLeast"/>
        <w:ind w:left="0" w:leftChars="0" w:right="0" w:rightChars="0"/>
        <w:jc w:val="both"/>
        <w:textAlignment w:val="auto"/>
        <w:outlineLvl w:val="9"/>
      </w:pPr>
      <w:r>
        <w:rPr>
          <w:rFonts w:hint="eastAsia" w:ascii="FangSong" w:hAnsi="FangSong" w:eastAsia="FangSong" w:cs="FangSong"/>
          <w:sz w:val="22"/>
          <w:szCs w:val="22"/>
        </w:rPr>
        <w:t>　　招 生 網：ao.zzu.edu.cn</w:t>
      </w:r>
    </w:p>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462" w:lineRule="atLeast"/>
        <w:ind w:left="0" w:leftChars="0" w:right="0" w:rightChars="0"/>
        <w:jc w:val="both"/>
        <w:textAlignment w:val="auto"/>
        <w:outlineLvl w:val="9"/>
      </w:pPr>
      <w:r>
        <w:rPr>
          <w:rFonts w:hint="eastAsia" w:ascii="FangSong" w:hAnsi="FangSong" w:eastAsia="FangSong" w:cs="FangSong"/>
          <w:sz w:val="22"/>
          <w:szCs w:val="22"/>
        </w:rPr>
        <w:t>　　電子信箱：zzuzhao@zzu.edu.cn</w:t>
      </w:r>
    </w:p>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462" w:lineRule="atLeast"/>
        <w:ind w:left="0" w:leftChars="0" w:right="0" w:rightChars="0"/>
        <w:jc w:val="both"/>
        <w:textAlignment w:val="auto"/>
        <w:outlineLvl w:val="9"/>
      </w:pPr>
      <w:r>
        <w:rPr>
          <w:rFonts w:hint="eastAsia" w:ascii="FangSong" w:hAnsi="FangSong" w:eastAsia="FangSong" w:cs="FangSong"/>
          <w:sz w:val="22"/>
          <w:szCs w:val="22"/>
        </w:rPr>
        <w:t>　　電    話：+86-371-67781182 </w:t>
      </w:r>
    </w:p>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462" w:lineRule="atLeast"/>
        <w:ind w:left="0" w:leftChars="0" w:right="0" w:rightChars="0"/>
        <w:jc w:val="both"/>
        <w:textAlignment w:val="auto"/>
        <w:outlineLvl w:val="9"/>
      </w:pPr>
      <w:r>
        <w:rPr>
          <w:rFonts w:hint="eastAsia" w:ascii="FangSong" w:hAnsi="FangSong" w:eastAsia="FangSong" w:cs="FangSong"/>
          <w:sz w:val="22"/>
          <w:szCs w:val="22"/>
        </w:rPr>
        <w:t>　　傳    真：+86-371-67781182</w:t>
      </w:r>
    </w:p>
    <w:p>
      <w:pPr>
        <w:keepNext w:val="0"/>
        <w:keepLines w:val="0"/>
        <w:pageBreakBefore w:val="0"/>
        <w:kinsoku/>
        <w:wordWrap/>
        <w:overflowPunct/>
        <w:topLinePunct w:val="0"/>
        <w:autoSpaceDE/>
        <w:autoSpaceDN/>
        <w:bidi w:val="0"/>
        <w:adjustRightInd/>
        <w:snapToGrid w:val="0"/>
        <w:spacing w:afterAutospacing="0"/>
        <w:ind w:left="0" w:leftChars="0" w:right="0" w:rightChars="0"/>
        <w:jc w:val="both"/>
        <w:textAlignment w:val="auto"/>
        <w:outlineLvl w:val="9"/>
      </w:pPr>
    </w:p>
    <w:p>
      <w:pPr>
        <w:keepNext w:val="0"/>
        <w:keepLines w:val="0"/>
        <w:pageBreakBefore w:val="0"/>
        <w:kinsoku/>
        <w:wordWrap/>
        <w:overflowPunct/>
        <w:topLinePunct w:val="0"/>
        <w:autoSpaceDE/>
        <w:autoSpaceDN/>
        <w:bidi w:val="0"/>
        <w:adjustRightInd/>
        <w:snapToGrid w:val="0"/>
        <w:spacing w:afterAutospacing="0"/>
        <w:ind w:left="0" w:leftChars="0" w:right="0" w:rightChars="0"/>
        <w:jc w:val="both"/>
        <w:textAlignment w:val="auto"/>
        <w:outlineLvl w:val="9"/>
      </w:pPr>
    </w:p>
    <w:p>
      <w:pPr>
        <w:keepNext w:val="0"/>
        <w:keepLines w:val="0"/>
        <w:pageBreakBefore w:val="0"/>
        <w:kinsoku/>
        <w:wordWrap/>
        <w:overflowPunct/>
        <w:topLinePunct w:val="0"/>
        <w:autoSpaceDE/>
        <w:autoSpaceDN/>
        <w:bidi w:val="0"/>
        <w:adjustRightInd/>
        <w:snapToGrid w:val="0"/>
        <w:spacing w:afterAutospacing="0"/>
        <w:ind w:left="0" w:leftChars="0" w:right="0" w:rightChars="0"/>
        <w:jc w:val="both"/>
        <w:textAlignment w:val="auto"/>
        <w:outlineLvl w:val="9"/>
      </w:pPr>
    </w:p>
    <w:p>
      <w:pPr>
        <w:keepNext w:val="0"/>
        <w:keepLines w:val="0"/>
        <w:pageBreakBefore w:val="0"/>
        <w:kinsoku/>
        <w:wordWrap/>
        <w:overflowPunct/>
        <w:topLinePunct w:val="0"/>
        <w:autoSpaceDE/>
        <w:autoSpaceDN/>
        <w:bidi w:val="0"/>
        <w:adjustRightInd/>
        <w:snapToGrid w:val="0"/>
        <w:spacing w:afterAutospacing="0"/>
        <w:ind w:left="0" w:leftChars="0" w:right="0" w:rightChars="0"/>
        <w:jc w:val="both"/>
        <w:textAlignment w:val="auto"/>
        <w:outlineLvl w:val="9"/>
      </w:pPr>
    </w:p>
    <w:p>
      <w:pPr>
        <w:keepNext w:val="0"/>
        <w:keepLines w:val="0"/>
        <w:pageBreakBefore w:val="0"/>
        <w:kinsoku/>
        <w:wordWrap/>
        <w:overflowPunct/>
        <w:topLinePunct w:val="0"/>
        <w:autoSpaceDE/>
        <w:autoSpaceDN/>
        <w:bidi w:val="0"/>
        <w:adjustRightInd/>
        <w:snapToGrid w:val="0"/>
        <w:spacing w:afterAutospacing="0"/>
        <w:ind w:left="0" w:leftChars="0" w:right="0" w:rightChars="0"/>
        <w:jc w:val="both"/>
        <w:textAlignment w:val="auto"/>
        <w:outlineLvl w:val="9"/>
        <w:rPr>
          <w:rFonts w:hint="eastAsia" w:eastAsiaTheme="minorEastAsia"/>
          <w:lang w:val="en-US" w:eastAsia="zh-CN"/>
        </w:rPr>
      </w:pPr>
      <w:r>
        <w:rPr>
          <w:rFonts w:hint="eastAsia"/>
          <w:lang w:val="en-US" w:eastAsia="zh-CN"/>
        </w:rPr>
        <w:t>網址：http://ao.zzu.edu.cn/stusv-estudent-main/website/front/nologin/toArticleDeatilForMap.action?colId=6dc15400c36111e7624b146c4705c1f9&amp;artId=553eae50eba211e72ae62f917744f666</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FangSong">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A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3BB446E"/>
    <w:rsid w:val="43BB446E"/>
    <w:rsid w:val="4F5C6D6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8">
    <w:name w:val="Normal Table"/>
    <w:semiHidden/>
    <w:qFormat/>
    <w:uiPriority w:val="0"/>
    <w:tblPr>
      <w:tblLayout w:type="fixed"/>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4">
    <w:name w:val="Strong"/>
    <w:basedOn w:val="3"/>
    <w:qFormat/>
    <w:uiPriority w:val="0"/>
    <w:rPr>
      <w:b/>
      <w:u w:val="none"/>
    </w:rPr>
  </w:style>
  <w:style w:type="character" w:styleId="5">
    <w:name w:val="FollowedHyperlink"/>
    <w:basedOn w:val="3"/>
    <w:uiPriority w:val="0"/>
    <w:rPr>
      <w:color w:val="800080"/>
      <w:u w:val="none"/>
    </w:rPr>
  </w:style>
  <w:style w:type="character" w:styleId="6">
    <w:name w:val="Emphasis"/>
    <w:basedOn w:val="3"/>
    <w:qFormat/>
    <w:uiPriority w:val="0"/>
  </w:style>
  <w:style w:type="character" w:styleId="7">
    <w:name w:val="Hyperlink"/>
    <w:basedOn w:val="3"/>
    <w:uiPriority w:val="0"/>
    <w:rPr>
      <w:color w:val="0000FF"/>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Office_10.1.0.7106_F1E327BC-269C-435d-A152-05C5408002CA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2018-02-25T07:46:00Z</dcterms:created>
  <dc:creator>user</dc:creator>
  <cp:lastModifiedBy>user</cp:lastModifiedBy>
  <dcterms:modified xsi:type="dcterms:W3CDTF">2018-02-25T08:35:55Z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2052-10.1.0.7106</vt:lpwstr>
  </property>
</Properties>
</file>