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18" w:lineRule="atLeast"/>
        <w:ind w:left="0" w:right="0" w:firstLine="0"/>
        <w:jc w:val="center"/>
        <w:rPr>
          <w:rFonts w:ascii="Microsoft YaHei" w:hAnsi="Microsoft YaHei" w:eastAsia="Microsoft YaHei" w:cs="Microsoft YaHei"/>
          <w:b/>
          <w:i w:val="0"/>
          <w:caps w:val="0"/>
          <w:color w:val="262626"/>
          <w:spacing w:val="0"/>
          <w:sz w:val="30"/>
          <w:szCs w:val="30"/>
        </w:rPr>
      </w:pPr>
      <w:bookmarkStart w:id="0" w:name="_GoBack"/>
      <w:r>
        <w:rPr>
          <w:rFonts w:ascii="方正小标宋简体" w:hAnsi="方正小标宋简体" w:eastAsia="方正小标宋简体" w:cs="方正小标宋简体"/>
          <w:b/>
          <w:i w:val="0"/>
          <w:caps w:val="0"/>
          <w:color w:val="262626"/>
          <w:spacing w:val="0"/>
          <w:sz w:val="30"/>
          <w:szCs w:val="30"/>
          <w:shd w:val="clear" w:fill="FFFFFF"/>
        </w:rPr>
        <w:t>溫州肯恩大學</w:t>
      </w:r>
      <w:bookmarkEnd w:id="0"/>
    </w:p>
    <w:p>
      <w:pPr>
        <w:pStyle w:val="2"/>
        <w:keepNext w:val="0"/>
        <w:keepLines w:val="0"/>
        <w:widowControl/>
        <w:suppressLineNumbers w:val="0"/>
        <w:spacing w:before="405" w:beforeAutospacing="0" w:after="0" w:afterAutospacing="0" w:line="18" w:lineRule="atLeast"/>
        <w:ind w:left="0" w:right="0"/>
        <w:jc w:val="center"/>
        <w:rPr>
          <w:rFonts w:hint="eastAsia" w:ascii="Microsoft YaHei" w:hAnsi="Microsoft YaHei" w:eastAsia="Microsoft YaHei" w:cs="Microsoft YaHei"/>
          <w:b/>
          <w:color w:val="262626"/>
          <w:sz w:val="30"/>
          <w:szCs w:val="30"/>
        </w:rPr>
      </w:pPr>
      <w:r>
        <w:rPr>
          <w:rFonts w:ascii="Poppins" w:hAnsi="Poppins" w:eastAsia="Poppins" w:cs="Poppins"/>
          <w:b/>
          <w:i w:val="0"/>
          <w:caps w:val="0"/>
          <w:color w:val="262626"/>
          <w:spacing w:val="0"/>
          <w:sz w:val="30"/>
          <w:szCs w:val="30"/>
          <w:shd w:val="clear" w:fill="FFFFFF"/>
        </w:rPr>
        <w:t>2017年免試招收臺灣高中畢業生簡章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405" w:beforeAutospacing="0" w:after="0" w:afterAutospacing="0" w:line="18" w:lineRule="atLeast"/>
        <w:ind w:left="0" w:right="0" w:firstLine="0"/>
        <w:jc w:val="left"/>
        <w:rPr>
          <w:rFonts w:hint="eastAsia" w:ascii="Microsoft YaHei" w:hAnsi="Microsoft YaHei" w:eastAsia="Microsoft YaHei" w:cs="Microsoft YaHei"/>
          <w:b/>
          <w:i w:val="0"/>
          <w:caps w:val="0"/>
          <w:color w:val="262626"/>
          <w:spacing w:val="0"/>
          <w:sz w:val="30"/>
          <w:szCs w:val="30"/>
        </w:rPr>
      </w:pPr>
      <w:r>
        <w:rPr>
          <w:rFonts w:ascii="Open Sans" w:hAnsi="Open Sans" w:eastAsia="Open Sans" w:cs="Open Sans"/>
          <w:b/>
          <w:i w:val="0"/>
          <w:caps w:val="0"/>
          <w:color w:val="000000"/>
          <w:spacing w:val="0"/>
          <w:sz w:val="30"/>
          <w:szCs w:val="30"/>
          <w:shd w:val="clear" w:fill="FFFFFF"/>
        </w:rPr>
        <w:t>一、學校概況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        溫州肯恩大學是教育部批準設立、溫州市政府舉辦的一所具有獨立法人資格的中美合作大學。目前在全國九個省市本科第一批次招生,在校生1650餘人，校園規劃用地3000餘畝。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ascii="仿宋_GB2312" w:hAnsi="Microsoft YaHei" w:eastAsia="仿宋_GB2312" w:cs="仿宋_GB2312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        學校引進美國優質高等教育資源、理念和模式，緊密結合中國國情與區域經濟文化的發展需求，致力於建設成為一所以生為本、創新包容、多元發展、特色鮮明的世界級教育水準的大學。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        溫州肯恩大學力求“為不同的學生找到不同的發展方向”，融合中美教育教學方法，培養具有全球視野，通曉國際規則和事務，具備創新、創造和開拓能力的國際化人才。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0" w:afterAutospacing="0" w:line="26" w:lineRule="atLeast"/>
        <w:ind w:left="0" w:right="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777777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405" w:beforeAutospacing="0" w:after="0" w:afterAutospacing="0" w:line="18" w:lineRule="atLeast"/>
        <w:ind w:left="0" w:right="0" w:firstLine="0"/>
        <w:jc w:val="left"/>
        <w:rPr>
          <w:rFonts w:hint="eastAsia" w:ascii="Microsoft YaHei" w:hAnsi="Microsoft YaHei" w:eastAsia="Microsoft YaHei" w:cs="Microsoft YaHei"/>
          <w:b/>
          <w:i w:val="0"/>
          <w:caps w:val="0"/>
          <w:color w:val="262626"/>
          <w:spacing w:val="0"/>
          <w:sz w:val="30"/>
          <w:szCs w:val="30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000000"/>
          <w:spacing w:val="0"/>
          <w:sz w:val="30"/>
          <w:szCs w:val="30"/>
          <w:shd w:val="clear" w:fill="FFFFFF"/>
        </w:rPr>
        <w:t>二、招生專業</w:t>
      </w:r>
    </w:p>
    <w:tbl>
      <w:tblPr>
        <w:tblW w:w="6600" w:type="dxa"/>
        <w:jc w:val="center"/>
        <w:tblInd w:w="-4035" w:type="dxa"/>
        <w:tblBorders>
          <w:top w:val="single" w:color="EAEAEA" w:sz="6" w:space="0"/>
          <w:left w:val="single" w:color="EAEAEA" w:sz="6" w:space="0"/>
          <w:bottom w:val="single" w:color="EAEAEA" w:sz="6" w:space="0"/>
          <w:right w:val="single" w:color="EAEAEA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82"/>
        <w:gridCol w:w="1681"/>
        <w:gridCol w:w="1079"/>
        <w:gridCol w:w="1273"/>
        <w:gridCol w:w="585"/>
      </w:tblGrid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7" w:hRule="atLeast"/>
          <w:jc w:val="center"/>
        </w:trPr>
        <w:tc>
          <w:tcPr>
            <w:tcW w:w="1982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專業名稱</w:t>
            </w:r>
          </w:p>
        </w:tc>
        <w:tc>
          <w:tcPr>
            <w:tcW w:w="1681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專業方向</w:t>
            </w:r>
          </w:p>
        </w:tc>
        <w:tc>
          <w:tcPr>
            <w:tcW w:w="107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類別</w:t>
            </w:r>
          </w:p>
        </w:tc>
        <w:tc>
          <w:tcPr>
            <w:tcW w:w="1273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科類</w:t>
            </w:r>
          </w:p>
        </w:tc>
        <w:tc>
          <w:tcPr>
            <w:tcW w:w="58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學制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65" w:hRule="atLeast"/>
          <w:jc w:val="center"/>
        </w:trPr>
        <w:tc>
          <w:tcPr>
            <w:tcW w:w="1982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會計學</w:t>
            </w:r>
          </w:p>
        </w:tc>
        <w:tc>
          <w:tcPr>
            <w:tcW w:w="1681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國際會計方向</w:t>
            </w:r>
          </w:p>
        </w:tc>
        <w:tc>
          <w:tcPr>
            <w:tcW w:w="107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普通類</w:t>
            </w:r>
          </w:p>
        </w:tc>
        <w:tc>
          <w:tcPr>
            <w:tcW w:w="1273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文理兼類</w:t>
            </w:r>
          </w:p>
        </w:tc>
        <w:tc>
          <w:tcPr>
            <w:tcW w:w="58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65" w:hRule="atLeast"/>
          <w:jc w:val="center"/>
        </w:trPr>
        <w:tc>
          <w:tcPr>
            <w:tcW w:w="1982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金融學</w:t>
            </w:r>
          </w:p>
        </w:tc>
        <w:tc>
          <w:tcPr>
            <w:tcW w:w="1681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國際金融方向</w:t>
            </w:r>
          </w:p>
        </w:tc>
        <w:tc>
          <w:tcPr>
            <w:tcW w:w="107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普通類</w:t>
            </w:r>
          </w:p>
        </w:tc>
        <w:tc>
          <w:tcPr>
            <w:tcW w:w="1273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文理兼類</w:t>
            </w:r>
          </w:p>
        </w:tc>
        <w:tc>
          <w:tcPr>
            <w:tcW w:w="58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65" w:hRule="atLeast"/>
          <w:jc w:val="center"/>
        </w:trPr>
        <w:tc>
          <w:tcPr>
            <w:tcW w:w="1982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英語</w:t>
            </w:r>
          </w:p>
        </w:tc>
        <w:tc>
          <w:tcPr>
            <w:tcW w:w="1681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國際英語應用方向</w:t>
            </w:r>
          </w:p>
        </w:tc>
        <w:tc>
          <w:tcPr>
            <w:tcW w:w="107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普通類</w:t>
            </w:r>
          </w:p>
        </w:tc>
        <w:tc>
          <w:tcPr>
            <w:tcW w:w="1273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文理兼類</w:t>
            </w:r>
          </w:p>
        </w:tc>
        <w:tc>
          <w:tcPr>
            <w:tcW w:w="58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65" w:hRule="atLeast"/>
          <w:jc w:val="center"/>
        </w:trPr>
        <w:tc>
          <w:tcPr>
            <w:tcW w:w="1982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計算機科學與技術</w:t>
            </w:r>
          </w:p>
        </w:tc>
        <w:tc>
          <w:tcPr>
            <w:tcW w:w="1681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Microsoft YaHei" w:hAnsi="Microsoft YaHei" w:eastAsia="Microsoft YaHei" w:cs="Microsoft YaHei"/>
                <w:b/>
                <w:i w:val="0"/>
                <w:caps w:val="0"/>
                <w:color w:val="777777"/>
                <w:spacing w:val="0"/>
                <w:sz w:val="20"/>
                <w:szCs w:val="20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07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普通類</w:t>
            </w:r>
          </w:p>
        </w:tc>
        <w:tc>
          <w:tcPr>
            <w:tcW w:w="1273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理工農醫類</w:t>
            </w:r>
          </w:p>
        </w:tc>
        <w:tc>
          <w:tcPr>
            <w:tcW w:w="58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65" w:hRule="atLeast"/>
          <w:jc w:val="center"/>
        </w:trPr>
        <w:tc>
          <w:tcPr>
            <w:tcW w:w="1982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國際商務</w:t>
            </w:r>
          </w:p>
        </w:tc>
        <w:tc>
          <w:tcPr>
            <w:tcW w:w="1681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Microsoft YaHei" w:hAnsi="Microsoft YaHei" w:eastAsia="Microsoft YaHei" w:cs="Microsoft YaHei"/>
                <w:b/>
                <w:i w:val="0"/>
                <w:caps w:val="0"/>
                <w:color w:val="777777"/>
                <w:spacing w:val="0"/>
                <w:sz w:val="20"/>
                <w:szCs w:val="20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07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普通類</w:t>
            </w:r>
          </w:p>
        </w:tc>
        <w:tc>
          <w:tcPr>
            <w:tcW w:w="1273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文理兼類</w:t>
            </w:r>
          </w:p>
        </w:tc>
        <w:tc>
          <w:tcPr>
            <w:tcW w:w="58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65" w:hRule="atLeast"/>
          <w:jc w:val="center"/>
        </w:trPr>
        <w:tc>
          <w:tcPr>
            <w:tcW w:w="1982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市場營銷</w:t>
            </w:r>
          </w:p>
        </w:tc>
        <w:tc>
          <w:tcPr>
            <w:tcW w:w="1681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國際市場營銷方向</w:t>
            </w:r>
          </w:p>
        </w:tc>
        <w:tc>
          <w:tcPr>
            <w:tcW w:w="107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普通類</w:t>
            </w:r>
          </w:p>
        </w:tc>
        <w:tc>
          <w:tcPr>
            <w:tcW w:w="1273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文理兼類</w:t>
            </w:r>
          </w:p>
        </w:tc>
        <w:tc>
          <w:tcPr>
            <w:tcW w:w="58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4</w:t>
            </w:r>
          </w:p>
        </w:tc>
      </w:tr>
      <w:tr>
        <w:tblPrEx>
          <w:tblBorders>
            <w:top w:val="single" w:color="EAEAEA" w:sz="6" w:space="0"/>
            <w:left w:val="single" w:color="EAEAEA" w:sz="6" w:space="0"/>
            <w:bottom w:val="single" w:color="EAEAEA" w:sz="6" w:space="0"/>
            <w:right w:val="single" w:color="EAEAEA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93" w:hRule="atLeast"/>
          <w:jc w:val="center"/>
        </w:trPr>
        <w:tc>
          <w:tcPr>
            <w:tcW w:w="1982" w:type="dxa"/>
            <w:tcBorders>
              <w:top w:val="nil"/>
              <w:left w:val="single" w:color="EAEAEA" w:sz="2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視覺傳達設計</w:t>
            </w:r>
          </w:p>
        </w:tc>
        <w:tc>
          <w:tcPr>
            <w:tcW w:w="1681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Microsoft YaHei" w:hAnsi="Microsoft YaHei" w:eastAsia="Microsoft YaHei" w:cs="Microsoft YaHei"/>
                <w:b/>
                <w:i w:val="0"/>
                <w:caps w:val="0"/>
                <w:color w:val="777777"/>
                <w:spacing w:val="0"/>
                <w:sz w:val="20"/>
                <w:szCs w:val="20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079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藝術類</w:t>
            </w:r>
          </w:p>
        </w:tc>
        <w:tc>
          <w:tcPr>
            <w:tcW w:w="1273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文理兼類</w:t>
            </w:r>
          </w:p>
        </w:tc>
        <w:tc>
          <w:tcPr>
            <w:tcW w:w="585" w:type="dxa"/>
            <w:tcBorders>
              <w:top w:val="nil"/>
              <w:left w:val="single" w:color="EAEAEA" w:sz="6" w:space="0"/>
              <w:bottom w:val="single" w:color="EAEAEA" w:sz="6" w:space="0"/>
              <w:right w:val="nil"/>
            </w:tcBorders>
            <w:shd w:val="clear" w:color="auto" w:fill="FFFFFF"/>
            <w:tcMar>
              <w:top w:w="120" w:type="dxa"/>
              <w:left w:w="270" w:type="dxa"/>
              <w:bottom w:w="105" w:type="dxa"/>
              <w:right w:w="27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270" w:beforeAutospacing="0" w:after="0" w:afterAutospacing="0" w:line="26" w:lineRule="atLeast"/>
              <w:ind w:left="0"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Open Sans" w:hAnsi="Open Sans" w:eastAsia="Open Sans" w:cs="Open Sans"/>
                <w:b/>
                <w:i w:val="0"/>
                <w:caps w:val="0"/>
                <w:color w:val="777777"/>
                <w:spacing w:val="0"/>
                <w:sz w:val="22"/>
                <w:szCs w:val="22"/>
              </w:rPr>
              <w:t>4</w:t>
            </w:r>
          </w:p>
        </w:tc>
      </w:tr>
    </w:tbl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777777"/>
          <w:spacing w:val="0"/>
          <w:sz w:val="21"/>
          <w:szCs w:val="21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405" w:beforeAutospacing="0" w:after="0" w:afterAutospacing="0" w:line="18" w:lineRule="atLeast"/>
        <w:ind w:left="0" w:right="0" w:firstLine="0"/>
        <w:jc w:val="left"/>
        <w:rPr>
          <w:rFonts w:hint="eastAsia" w:ascii="Microsoft YaHei" w:hAnsi="Microsoft YaHei" w:eastAsia="Microsoft YaHei" w:cs="Microsoft YaHei"/>
          <w:b/>
          <w:i w:val="0"/>
          <w:caps w:val="0"/>
          <w:color w:val="262626"/>
          <w:spacing w:val="0"/>
          <w:sz w:val="30"/>
          <w:szCs w:val="30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000000"/>
          <w:spacing w:val="0"/>
          <w:sz w:val="30"/>
          <w:szCs w:val="30"/>
          <w:shd w:val="clear" w:fill="FFFFFF"/>
        </w:rPr>
        <w:t>三、學位授予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仿宋_GB2312" w:hAnsi="Microsoft YaHei" w:eastAsia="仿宋_GB2312" w:cs="仿宋_GB2312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學生同時註冊溫州肯恩大學和美國肯恩大學學籍。畢業後授予溫州肯恩大學學士學位和美國肯恩大學學士學位，並頒發溫州肯恩大學本科畢業證書。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777777"/>
          <w:spacing w:val="0"/>
          <w:sz w:val="21"/>
          <w:szCs w:val="21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777777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405" w:beforeAutospacing="0" w:after="0" w:afterAutospacing="0" w:line="18" w:lineRule="atLeast"/>
        <w:ind w:left="0" w:right="0" w:firstLine="0"/>
        <w:jc w:val="left"/>
        <w:rPr>
          <w:rFonts w:hint="eastAsia" w:ascii="Microsoft YaHei" w:hAnsi="Microsoft YaHei" w:eastAsia="Microsoft YaHei" w:cs="Microsoft YaHei"/>
          <w:b/>
          <w:i w:val="0"/>
          <w:caps w:val="0"/>
          <w:color w:val="262626"/>
          <w:spacing w:val="0"/>
          <w:sz w:val="30"/>
          <w:szCs w:val="30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000000"/>
          <w:spacing w:val="0"/>
          <w:sz w:val="30"/>
          <w:szCs w:val="30"/>
          <w:shd w:val="clear" w:fill="FFFFFF"/>
        </w:rPr>
        <w:t>四、報名事項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1. 報名條件：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(1)</w:t>
      </w:r>
      <w:r>
        <w:rPr>
          <w:rFonts w:hint="default" w:ascii="Open Sans" w:hAnsi="Open Sans" w:eastAsia="Open Sans" w:cs="Open Sans"/>
          <w:b w:val="0"/>
          <w:i w:val="0"/>
          <w:caps w:val="0"/>
          <w:color w:val="000000"/>
          <w:spacing w:val="0"/>
          <w:sz w:val="22"/>
          <w:szCs w:val="22"/>
          <w:shd w:val="clear" w:fill="FFFFFF"/>
        </w:rPr>
        <w:t> </w:t>
      </w: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在臺灣參加“學測”考試，成績達頂標級、前標級的臺灣高中畢業生，並且英文單科九級分以上；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(2)</w:t>
      </w:r>
      <w:r>
        <w:rPr>
          <w:rFonts w:hint="default" w:ascii="Open Sans" w:hAnsi="Open Sans" w:eastAsia="Open Sans" w:cs="Open Sans"/>
          <w:b w:val="0"/>
          <w:i w:val="0"/>
          <w:caps w:val="0"/>
          <w:color w:val="000000"/>
          <w:spacing w:val="0"/>
          <w:sz w:val="22"/>
          <w:szCs w:val="22"/>
          <w:shd w:val="clear" w:fill="FFFFFF"/>
        </w:rPr>
        <w:t> </w:t>
      </w: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在大陸舉辦的臺商子弟(女)學校學習，回臺灣參加“學測”考試，成績達均標級的高中畢業生，並且英語單科九級分以上。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2. 報名時間：</w:t>
      </w: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即日起至2017年6月10日。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3. 報名材料：</w:t>
      </w:r>
      <w:r>
        <w:rPr>
          <w:rFonts w:hint="default" w:ascii="Open Sans" w:hAnsi="Open Sans" w:eastAsia="Open Sans" w:cs="Open Sans"/>
          <w:b w:val="0"/>
          <w:i w:val="0"/>
          <w:caps w:val="0"/>
          <w:color w:val="000000"/>
          <w:spacing w:val="0"/>
          <w:sz w:val="22"/>
          <w:szCs w:val="22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(1)</w:t>
      </w:r>
      <w:r>
        <w:rPr>
          <w:rFonts w:hint="default" w:ascii="Open Sans" w:hAnsi="Open Sans" w:eastAsia="Open Sans" w:cs="Open Sans"/>
          <w:b w:val="0"/>
          <w:i w:val="0"/>
          <w:caps w:val="0"/>
          <w:color w:val="000000"/>
          <w:spacing w:val="0"/>
          <w:sz w:val="22"/>
          <w:szCs w:val="22"/>
          <w:shd w:val="clear" w:fill="FFFFFF"/>
        </w:rPr>
        <w:t> </w:t>
      </w: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符合條件的申請者請填寫《溫州肯恩大學2017年招收臺灣高中畢業生申請表》；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(2)</w:t>
      </w:r>
      <w:r>
        <w:rPr>
          <w:rFonts w:hint="default" w:ascii="Open Sans" w:hAnsi="Open Sans" w:eastAsia="Open Sans" w:cs="Open Sans"/>
          <w:b w:val="0"/>
          <w:i w:val="0"/>
          <w:caps w:val="0"/>
          <w:color w:val="000000"/>
          <w:spacing w:val="0"/>
          <w:sz w:val="22"/>
          <w:szCs w:val="22"/>
          <w:shd w:val="clear" w:fill="FFFFFF"/>
        </w:rPr>
        <w:t> </w:t>
      </w: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臺灣地區入學考試學科能力測驗考生成績通知單影印本（含報名序號）；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(3)</w:t>
      </w:r>
      <w:r>
        <w:rPr>
          <w:rFonts w:hint="default" w:ascii="Open Sans" w:hAnsi="Open Sans" w:eastAsia="Open Sans" w:cs="Open Sans"/>
          <w:b w:val="0"/>
          <w:i w:val="0"/>
          <w:caps w:val="0"/>
          <w:color w:val="000000"/>
          <w:spacing w:val="0"/>
          <w:sz w:val="22"/>
          <w:szCs w:val="22"/>
          <w:shd w:val="clear" w:fill="FFFFFF"/>
        </w:rPr>
        <w:t> </w:t>
      </w: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中學成績證明影印本；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(4)</w:t>
      </w:r>
      <w:r>
        <w:rPr>
          <w:rFonts w:hint="default" w:ascii="Open Sans" w:hAnsi="Open Sans" w:eastAsia="Open Sans" w:cs="Open Sans"/>
          <w:b w:val="0"/>
          <w:i w:val="0"/>
          <w:caps w:val="0"/>
          <w:color w:val="000000"/>
          <w:spacing w:val="0"/>
          <w:sz w:val="22"/>
          <w:szCs w:val="22"/>
          <w:shd w:val="clear" w:fill="FFFFFF"/>
        </w:rPr>
        <w:t> </w:t>
      </w: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臺胞證影印本(資料頁)與臺灣居民身份證影印本；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(5)</w:t>
      </w:r>
      <w:r>
        <w:rPr>
          <w:rFonts w:hint="default" w:ascii="Open Sans" w:hAnsi="Open Sans" w:eastAsia="Open Sans" w:cs="Open Sans"/>
          <w:b w:val="0"/>
          <w:i w:val="0"/>
          <w:caps w:val="0"/>
          <w:color w:val="000000"/>
          <w:spacing w:val="0"/>
          <w:sz w:val="22"/>
          <w:szCs w:val="22"/>
          <w:shd w:val="clear" w:fill="FFFFFF"/>
        </w:rPr>
        <w:t> </w:t>
      </w: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本人一寸證件照片。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*設計專業申請條件：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仿宋_GB2312" w:hAnsi="Microsoft YaHei" w:eastAsia="仿宋_GB2312" w:cs="仿宋_GB2312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達到聯招考試或學測成績錄取要求的同時需提交設計作品。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錄取作品要求如下：請至少上傳10份個人創作，但不超過12件。所有圖片必須作為單獨文件上傳，請不要將多個作品合並為壹個文件，除非是展示壹個單獨作品或素描的詳細信息。妳最好的作品需要展示基礎設計和繪圖方面的創造性思維和技能。請在各類媒體和題材中選取示例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評估的類別和標準、作品格式要求、提交方式等信息請聯系學校招辦，電子郵箱：admissions@wku.edu.cn 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262626"/>
          <w:spacing w:val="0"/>
          <w:sz w:val="22"/>
          <w:szCs w:val="22"/>
          <w:shd w:val="clear" w:fill="FFFFFF"/>
        </w:rPr>
        <w:t>4. 報名方式：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仿宋_GB2312" w:hAnsi="Microsoft YaHei" w:eastAsia="仿宋_GB2312" w:cs="仿宋_GB2312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為簡便學生申請環節，溫州肯恩大學不要求郵寄紙質報名材料，請填寫申請表並按要求上傳申請材料影印本。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777777"/>
          <w:spacing w:val="0"/>
          <w:sz w:val="21"/>
          <w:szCs w:val="21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405" w:beforeAutospacing="0" w:after="0" w:afterAutospacing="0" w:line="18" w:lineRule="atLeast"/>
        <w:ind w:left="0" w:right="0" w:firstLine="0"/>
        <w:jc w:val="left"/>
        <w:rPr>
          <w:rFonts w:hint="eastAsia" w:ascii="Microsoft YaHei" w:hAnsi="Microsoft YaHei" w:eastAsia="Microsoft YaHei" w:cs="Microsoft YaHei"/>
          <w:b/>
          <w:i w:val="0"/>
          <w:caps w:val="0"/>
          <w:color w:val="262626"/>
          <w:spacing w:val="0"/>
          <w:sz w:val="30"/>
          <w:szCs w:val="30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000000"/>
          <w:spacing w:val="0"/>
          <w:sz w:val="30"/>
          <w:szCs w:val="30"/>
          <w:shd w:val="clear" w:fill="FFFFFF"/>
        </w:rPr>
        <w:t>五、錄取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學校根據申請人“學測”成績與綜合情況等進行評定，擇優錄取，並將合格名單報送中國普通高校聯合招生辦公室審核，申請辦理錄取手續；溫州肯恩大學向核準錄取的考生寄發錄取通知書</w:t>
      </w:r>
      <w:r>
        <w:rPr>
          <w:rFonts w:hint="default" w:ascii="Open Sans" w:hAnsi="Open Sans" w:eastAsia="Open Sans" w:cs="Open Sans"/>
          <w:b w:val="0"/>
          <w:i w:val="0"/>
          <w:caps w:val="0"/>
          <w:color w:val="000000"/>
          <w:spacing w:val="0"/>
          <w:sz w:val="22"/>
          <w:szCs w:val="22"/>
          <w:shd w:val="clear" w:fill="FFFFFF"/>
        </w:rPr>
        <w:t>。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777777"/>
          <w:spacing w:val="0"/>
          <w:sz w:val="21"/>
          <w:szCs w:val="21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405" w:beforeAutospacing="0" w:after="0" w:afterAutospacing="0" w:line="18" w:lineRule="atLeast"/>
        <w:ind w:left="0" w:right="0" w:firstLine="0"/>
        <w:jc w:val="left"/>
        <w:rPr>
          <w:rFonts w:hint="eastAsia" w:ascii="Microsoft YaHei" w:hAnsi="Microsoft YaHei" w:eastAsia="Microsoft YaHei" w:cs="Microsoft YaHei"/>
          <w:b/>
          <w:i w:val="0"/>
          <w:caps w:val="0"/>
          <w:color w:val="262626"/>
          <w:spacing w:val="0"/>
          <w:sz w:val="30"/>
          <w:szCs w:val="30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000000"/>
          <w:spacing w:val="0"/>
          <w:sz w:val="30"/>
          <w:szCs w:val="30"/>
          <w:shd w:val="clear" w:fill="FFFFFF"/>
        </w:rPr>
        <w:t>六、入學時間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仿宋_GB2312" w:hAnsi="Microsoft YaHei" w:eastAsia="仿宋_GB2312" w:cs="仿宋_GB2312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新生持溫州肯恩大學《錄取通知書》，按通知書指定的時間來學校報到，因故不能按時報到者，應提前向學校請假，並獲得批準。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777777"/>
          <w:spacing w:val="0"/>
          <w:sz w:val="21"/>
          <w:szCs w:val="21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405" w:beforeAutospacing="0" w:after="0" w:afterAutospacing="0" w:line="18" w:lineRule="atLeast"/>
        <w:ind w:left="0" w:right="0" w:firstLine="0"/>
        <w:jc w:val="left"/>
        <w:rPr>
          <w:rFonts w:hint="eastAsia" w:ascii="Microsoft YaHei" w:hAnsi="Microsoft YaHei" w:eastAsia="Microsoft YaHei" w:cs="Microsoft YaHei"/>
          <w:b/>
          <w:i w:val="0"/>
          <w:caps w:val="0"/>
          <w:color w:val="262626"/>
          <w:spacing w:val="0"/>
          <w:sz w:val="30"/>
          <w:szCs w:val="30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000000"/>
          <w:spacing w:val="0"/>
          <w:sz w:val="30"/>
          <w:szCs w:val="30"/>
          <w:shd w:val="clear" w:fill="FFFFFF"/>
        </w:rPr>
        <w:t>七、收費標準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1. 學費： 2017年文理類專業學費每學年45000元人民幣（美元6,650）/人，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                 設計專業學費每學年48000元人民幣（美元7,090）/人。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2. 住宿費： 2017年每學年8000-10000元人民幣（美元1,150-1,437）/人。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3. 保險：每學年800元人民幣（美元118）/人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4. 書本費：按實際購買收取。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仿宋_GB2312" w:hAnsi="Microsoft YaHei" w:eastAsia="仿宋_GB2312" w:cs="仿宋_GB2312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備註：1.其他額外費用均以學校網站公布為準。</w:t>
      </w:r>
      <w:r>
        <w:rPr>
          <w:rFonts w:hint="default" w:ascii="仿宋_GB2312" w:hAnsi="Microsoft YaHei" w:eastAsia="仿宋_GB2312" w:cs="仿宋_GB2312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仿宋_GB2312" w:hAnsi="Microsoft YaHei" w:eastAsia="仿宋_GB2312" w:cs="仿宋_GB2312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2.美元費用為大約值，以實時匯率為準。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777777"/>
          <w:spacing w:val="0"/>
          <w:sz w:val="21"/>
          <w:szCs w:val="21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405" w:beforeAutospacing="0" w:after="0" w:afterAutospacing="0" w:line="18" w:lineRule="atLeast"/>
        <w:ind w:left="0" w:right="0" w:firstLine="0"/>
        <w:jc w:val="left"/>
        <w:rPr>
          <w:rFonts w:hint="eastAsia" w:ascii="Microsoft YaHei" w:hAnsi="Microsoft YaHei" w:eastAsia="Microsoft YaHei" w:cs="Microsoft YaHei"/>
          <w:b/>
          <w:i w:val="0"/>
          <w:caps w:val="0"/>
          <w:color w:val="262626"/>
          <w:spacing w:val="0"/>
          <w:sz w:val="30"/>
          <w:szCs w:val="30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000000"/>
          <w:spacing w:val="0"/>
          <w:sz w:val="30"/>
          <w:szCs w:val="30"/>
          <w:shd w:val="clear" w:fill="FFFFFF"/>
        </w:rPr>
        <w:t>八、獎學金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1.院長獎學金。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壹等獎：1萬元人民蔽/年/人；二等獎：5千元人民蔽/年/人；三等獎：2千元人民蔽/年/人。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其它研究與創新、學術競賽獎學金：3千元人民蔽/年/（個人或團體）。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2. 領導力獎學金：3千元人民蔽/年/（個人或團體）；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    公共服務獎學金：3千元人民蔽/年/（個人或團體）；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    文化、體育或藝術獎學金：3千元人民蔽/年/（個人或團體）。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="Microsoft YaHei" w:hAnsi="Microsoft YaHei" w:eastAsia="Microsoft YaHei" w:cs="Microsoft YaHei"/>
          <w:b w:val="0"/>
          <w:i w:val="0"/>
          <w:caps w:val="0"/>
          <w:color w:val="777777"/>
          <w:spacing w:val="0"/>
          <w:sz w:val="21"/>
          <w:szCs w:val="21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777777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405" w:beforeAutospacing="0" w:after="0" w:afterAutospacing="0" w:line="18" w:lineRule="atLeast"/>
        <w:ind w:left="0" w:right="0" w:firstLine="0"/>
        <w:jc w:val="left"/>
        <w:rPr>
          <w:rFonts w:hint="eastAsia" w:ascii="Microsoft YaHei" w:hAnsi="Microsoft YaHei" w:eastAsia="Microsoft YaHei" w:cs="Microsoft YaHei"/>
          <w:b/>
          <w:i w:val="0"/>
          <w:caps w:val="0"/>
          <w:color w:val="262626"/>
          <w:spacing w:val="0"/>
          <w:sz w:val="30"/>
          <w:szCs w:val="30"/>
        </w:rPr>
      </w:pPr>
      <w:r>
        <w:rPr>
          <w:rFonts w:hint="default" w:ascii="Open Sans" w:hAnsi="Open Sans" w:eastAsia="Open Sans" w:cs="Open Sans"/>
          <w:b/>
          <w:i w:val="0"/>
          <w:caps w:val="0"/>
          <w:color w:val="000000"/>
          <w:spacing w:val="0"/>
          <w:sz w:val="30"/>
          <w:szCs w:val="30"/>
          <w:shd w:val="clear" w:fill="FFFFFF"/>
        </w:rPr>
        <w:t>九、聯系方式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仿宋_GB2312" w:hAnsi="Microsoft YaHei" w:eastAsia="仿宋_GB2312" w:cs="仿宋_GB2312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招生辦公室聯系人：蘇中元、薛遙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電話：+86-0577-55870333 傳真：+86-0577-55870099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聯系地址：浙江省溫州市甌海區大學路88號溫州肯恩大學招生辦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郵政編碼：325060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網址：</w:t>
      </w:r>
      <w:r>
        <w:rPr>
          <w:rFonts w:hint="default" w:ascii="Open Sans" w:hAnsi="Open Sans" w:eastAsia="Open Sans" w:cs="Open Sans"/>
          <w:b w:val="0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Open Sans" w:hAnsi="Open Sans" w:eastAsia="Open Sans" w:cs="Open Sans"/>
          <w:b w:val="0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instrText xml:space="preserve"> HYPERLINK "http://www.wku.edu.cn/zh-hans/admissions/" </w:instrText>
      </w:r>
      <w:r>
        <w:rPr>
          <w:rFonts w:hint="default" w:ascii="Open Sans" w:hAnsi="Open Sans" w:eastAsia="Open Sans" w:cs="Open Sans"/>
          <w:b w:val="0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default" w:ascii="Open Sans" w:hAnsi="Open Sans" w:eastAsia="Open Sans" w:cs="Open Sans"/>
          <w:b w:val="0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t>http://www.wku.edu.cn/zh-hans/admissions/</w:t>
      </w:r>
      <w:r>
        <w:rPr>
          <w:rFonts w:hint="default" w:ascii="Open Sans" w:hAnsi="Open Sans" w:eastAsia="Open Sans" w:cs="Open Sans"/>
          <w:b w:val="0"/>
          <w:i w:val="0"/>
          <w:caps w:val="0"/>
          <w:color w:val="262626"/>
          <w:spacing w:val="0"/>
          <w:sz w:val="22"/>
          <w:szCs w:val="22"/>
          <w:u w:val="none"/>
          <w:bdr w:val="none" w:color="auto" w:sz="0" w:space="0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郵箱：admissions@wku.edu.cn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Open Sans" w:hAnsi="Open Sans" w:eastAsia="Open Sans" w:cs="Open Sans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QQ招生咨詢群：231407342</w:t>
      </w:r>
    </w:p>
    <w:p>
      <w:pPr>
        <w:pStyle w:val="3"/>
        <w:keepNext w:val="0"/>
        <w:keepLines w:val="0"/>
        <w:widowControl/>
        <w:suppressLineNumbers w:val="0"/>
        <w:spacing w:before="270" w:beforeAutospacing="0" w:after="0" w:afterAutospacing="0" w:line="26" w:lineRule="atLeast"/>
        <w:ind w:left="0" w:right="0"/>
        <w:jc w:val="left"/>
        <w:rPr>
          <w:sz w:val="22"/>
          <w:szCs w:val="22"/>
        </w:rPr>
      </w:pPr>
      <w:r>
        <w:rPr>
          <w:rFonts w:hint="default" w:ascii="仿宋_GB2312" w:hAnsi="Microsoft YaHei" w:eastAsia="仿宋_GB2312" w:cs="仿宋_GB2312"/>
          <w:b w:val="0"/>
          <w:i w:val="0"/>
          <w:caps w:val="0"/>
          <w:color w:val="777777"/>
          <w:spacing w:val="0"/>
          <w:sz w:val="22"/>
          <w:szCs w:val="22"/>
          <w:shd w:val="clear" w:fill="FFFFFF"/>
        </w:rPr>
        <w:t>微信公眾平臺：溫肯招辦在線</w:t>
      </w:r>
    </w:p>
    <w:p>
      <w:pPr>
        <w:rPr>
          <w:rFonts w:hint="eastAsia"/>
          <w:lang w:eastAsia="zh-CN"/>
        </w:rPr>
      </w:pPr>
    </w:p>
    <w:p>
      <w:r>
        <w:rPr>
          <w:rFonts w:hint="eastAsia"/>
          <w:lang w:eastAsia="zh-CN"/>
        </w:rPr>
        <w:t>網站：</w:t>
      </w:r>
      <w:r>
        <w:rPr>
          <w:rFonts w:hint="eastAsia"/>
        </w:rPr>
        <w:t>http://www.wku.edu.cn/zh-hans/mianshizhaoshoutaiwangaozhongbiyesheng/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oppi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FangSon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FE007D"/>
    <w:rsid w:val="33FE007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2017-03-28T09:50:00Z</dcterms:created>
  <dc:creator>user</dc:creator>
  <cp:lastModifiedBy>user</cp:lastModifiedBy>
  <dcterms:modified xsi:type="dcterms:W3CDTF">2017-03-28T09:54:12Z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