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SimSun" w:hAnsi="SimSun" w:eastAsia="SimSun" w:cs="SimSun"/>
          <w:sz w:val="24"/>
          <w:szCs w:val="24"/>
          <w:bdr w:val="none" w:color="auto" w:sz="0" w:space="0"/>
        </w:rPr>
      </w:pPr>
      <w:r>
        <w:rPr>
          <w:rFonts w:ascii="SimSun" w:hAnsi="SimSun" w:eastAsia="SimSun" w:cs="SimSun"/>
          <w:sz w:val="24"/>
          <w:szCs w:val="24"/>
          <w:bdr w:val="none" w:color="auto" w:sz="0" w:space="0"/>
        </w:rPr>
        <w:t>广州中医药大学2017年免试招收台湾高中毕业生简章</w:t>
      </w:r>
    </w:p>
    <w:p>
      <w:pPr>
        <w:pStyle w:val="2"/>
        <w:keepNext w:val="0"/>
        <w:keepLines w:val="0"/>
        <w:widowControl/>
        <w:suppressLineNumbers w:val="0"/>
        <w:spacing w:line="555" w:lineRule="atLeast"/>
        <w:ind w:left="0" w:firstLine="420"/>
      </w:pPr>
      <w:r>
        <w:rPr>
          <w:rStyle w:val="4"/>
          <w:rFonts w:ascii="FangSong" w:hAnsi="FangSong" w:eastAsia="FangSong" w:cs="FangSong"/>
          <w:sz w:val="31"/>
          <w:szCs w:val="31"/>
          <w:bdr w:val="none" w:color="auto" w:sz="0" w:space="0"/>
        </w:rPr>
        <w:t>二、招生专业</w:t>
      </w:r>
    </w:p>
    <w:tbl>
      <w:tblPr>
        <w:tblW w:w="8475" w:type="dxa"/>
        <w:tblCellSpacing w:w="0"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
      <w:tblGrid>
        <w:gridCol w:w="2160"/>
        <w:gridCol w:w="4185"/>
        <w:gridCol w:w="21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blCellSpacing w:w="0" w:type="dxa"/>
        </w:trPr>
        <w:tc>
          <w:tcPr>
            <w:tcW w:w="2160" w:type="dxa"/>
            <w:tcBorders>
              <w:top w:val="single" w:color="auto" w:sz="6" w:space="0"/>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spacing w:line="555" w:lineRule="atLeast"/>
              <w:ind w:left="0" w:firstLine="645"/>
              <w:jc w:val="center"/>
              <w:rPr>
                <w:rFonts w:hint="eastAsia" w:ascii="新細明體" w:hAnsi="新細明體" w:eastAsia="新細明體" w:cs="新細明體"/>
                <w:sz w:val="21"/>
                <w:szCs w:val="21"/>
              </w:rPr>
            </w:pPr>
            <w:r>
              <w:rPr>
                <w:rStyle w:val="4"/>
                <w:rFonts w:hint="eastAsia" w:ascii="新細明體" w:hAnsi="新細明體" w:eastAsia="新細明體" w:cs="新細明體"/>
                <w:sz w:val="24"/>
                <w:szCs w:val="24"/>
                <w:bdr w:val="none" w:color="auto" w:sz="0" w:space="0"/>
              </w:rPr>
              <w:t>专业类</w:t>
            </w:r>
          </w:p>
        </w:tc>
        <w:tc>
          <w:tcPr>
            <w:tcW w:w="4185" w:type="dxa"/>
            <w:tcBorders>
              <w:top w:val="single" w:color="auto" w:sz="6" w:space="0"/>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spacing w:line="555" w:lineRule="atLeast"/>
              <w:ind w:left="0" w:firstLine="420"/>
              <w:jc w:val="center"/>
              <w:rPr>
                <w:rFonts w:hint="eastAsia" w:ascii="新細明體" w:hAnsi="新細明體" w:eastAsia="新細明體" w:cs="新細明體"/>
                <w:sz w:val="21"/>
                <w:szCs w:val="21"/>
              </w:rPr>
            </w:pPr>
            <w:r>
              <w:rPr>
                <w:rStyle w:val="4"/>
                <w:rFonts w:hint="eastAsia" w:ascii="新細明體" w:hAnsi="新細明體" w:eastAsia="新細明體" w:cs="新細明體"/>
                <w:sz w:val="24"/>
                <w:szCs w:val="24"/>
                <w:bdr w:val="none" w:color="auto" w:sz="0" w:space="0"/>
              </w:rPr>
              <w:t>招生专业名称</w:t>
            </w:r>
          </w:p>
        </w:tc>
        <w:tc>
          <w:tcPr>
            <w:tcW w:w="2130" w:type="dxa"/>
            <w:tcBorders>
              <w:top w:val="single" w:color="auto" w:sz="6" w:space="0"/>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spacing w:line="555" w:lineRule="atLeast"/>
              <w:ind w:left="0" w:firstLine="420"/>
              <w:jc w:val="center"/>
              <w:rPr>
                <w:rFonts w:hint="eastAsia" w:ascii="新細明體" w:hAnsi="新細明體" w:eastAsia="新細明體" w:cs="新細明體"/>
                <w:sz w:val="21"/>
                <w:szCs w:val="21"/>
              </w:rPr>
            </w:pPr>
            <w:r>
              <w:rPr>
                <w:rStyle w:val="4"/>
                <w:rFonts w:hint="eastAsia" w:ascii="新細明體" w:hAnsi="新細明體" w:eastAsia="新細明體" w:cs="新細明體"/>
                <w:sz w:val="24"/>
                <w:szCs w:val="24"/>
                <w:bdr w:val="none" w:color="auto" w:sz="0" w:space="0"/>
              </w:rPr>
              <w:t>学制（年）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216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spacing w:line="555" w:lineRule="atLeast"/>
              <w:ind w:left="0" w:firstLine="645"/>
              <w:jc w:val="center"/>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医学类</w:t>
            </w:r>
          </w:p>
        </w:tc>
        <w:tc>
          <w:tcPr>
            <w:tcW w:w="418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spacing w:line="555" w:lineRule="atLeast"/>
              <w:ind w:left="0" w:firstLine="420"/>
              <w:jc w:val="center"/>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中医学</w:t>
            </w:r>
          </w:p>
        </w:tc>
        <w:tc>
          <w:tcPr>
            <w:tcW w:w="2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2160"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spacing w:line="555" w:lineRule="atLeast"/>
              <w:ind w:left="0" w:firstLine="645"/>
              <w:jc w:val="center"/>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医学类</w:t>
            </w:r>
          </w:p>
        </w:tc>
        <w:tc>
          <w:tcPr>
            <w:tcW w:w="418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spacing w:line="555" w:lineRule="atLeast"/>
              <w:ind w:left="0" w:firstLine="420"/>
              <w:jc w:val="center"/>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针灸推拿学</w:t>
            </w:r>
          </w:p>
        </w:tc>
        <w:tc>
          <w:tcPr>
            <w:tcW w:w="213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5</w:t>
            </w:r>
          </w:p>
        </w:tc>
      </w:tr>
    </w:tbl>
    <w:p>
      <w:pPr>
        <w:pStyle w:val="2"/>
        <w:keepNext w:val="0"/>
        <w:keepLines w:val="0"/>
        <w:widowControl/>
        <w:suppressLineNumbers w:val="0"/>
        <w:spacing w:line="555" w:lineRule="atLeast"/>
        <w:ind w:left="0" w:firstLine="420"/>
        <w:rPr>
          <w:rFonts w:hint="eastAsia" w:ascii="新細明體" w:hAnsi="新細明體" w:eastAsia="新細明體" w:cs="新細明體"/>
          <w:sz w:val="21"/>
          <w:szCs w:val="21"/>
        </w:rPr>
      </w:pPr>
      <w:r>
        <w:rPr>
          <w:rFonts w:hint="eastAsia" w:ascii="新細明體" w:hAnsi="新細明體" w:eastAsia="新細明體" w:cs="新細明體"/>
          <w:sz w:val="21"/>
          <w:szCs w:val="21"/>
          <w:bdr w:val="none" w:color="auto" w:sz="0" w:space="0"/>
        </w:rPr>
        <w:t> </w:t>
      </w:r>
    </w:p>
    <w:p>
      <w:pPr>
        <w:pStyle w:val="2"/>
        <w:keepNext w:val="0"/>
        <w:keepLines w:val="0"/>
        <w:widowControl/>
        <w:suppressLineNumbers w:val="0"/>
        <w:spacing w:line="375" w:lineRule="atLeast"/>
        <w:ind w:left="0" w:firstLine="420"/>
        <w:jc w:val="left"/>
        <w:rPr>
          <w:rFonts w:hint="eastAsia" w:ascii="新細明體" w:hAnsi="新細明體" w:eastAsia="新細明體" w:cs="新細明體"/>
          <w:sz w:val="21"/>
          <w:szCs w:val="21"/>
        </w:rPr>
      </w:pPr>
      <w:r>
        <w:rPr>
          <w:rStyle w:val="4"/>
          <w:rFonts w:hint="eastAsia" w:ascii="新細明體" w:hAnsi="新細明體" w:eastAsia="新細明體" w:cs="新細明體"/>
          <w:sz w:val="24"/>
          <w:szCs w:val="24"/>
          <w:bdr w:val="none" w:color="auto" w:sz="0" w:space="0"/>
        </w:rPr>
        <w:t>三、申请资格</w:t>
      </w:r>
      <w:r>
        <w:rPr>
          <w:rStyle w:val="4"/>
          <w:rFonts w:hint="eastAsia" w:ascii="新細明體" w:hAnsi="新細明體" w:eastAsia="新細明體" w:cs="新細明體"/>
          <w:color w:val="333333"/>
          <w:sz w:val="24"/>
          <w:szCs w:val="24"/>
          <w:bdr w:val="none" w:color="auto" w:sz="0" w:space="0"/>
        </w:rPr>
        <w:br w:type="textWrapping"/>
      </w:r>
      <w:r>
        <w:rPr>
          <w:rFonts w:hint="eastAsia" w:ascii="新細明體" w:hAnsi="新細明體" w:eastAsia="新細明體" w:cs="新細明體"/>
          <w:color w:val="333333"/>
          <w:sz w:val="24"/>
          <w:szCs w:val="24"/>
          <w:bdr w:val="none" w:color="auto" w:sz="0" w:space="0"/>
        </w:rPr>
        <w:t xml:space="preserve">  </w:t>
      </w:r>
      <w:r>
        <w:rPr>
          <w:rFonts w:hint="eastAsia" w:ascii="新細明體" w:hAnsi="新細明體" w:eastAsia="新細明體" w:cs="新細明體"/>
          <w:sz w:val="24"/>
          <w:szCs w:val="24"/>
          <w:bdr w:val="none" w:color="auto" w:sz="0" w:space="0"/>
        </w:rPr>
        <w:t xml:space="preserve">根据《教育部关于普通高等学校依据台湾地区大学入学考试学科能力测验成绩招收台湾高中毕业生的通知》依据台湾地区大学入学考试学科能力测验(教港澳台函〔2011〕18号 )要求，符合下列条件之一者，即符合申请资格： </w:t>
      </w:r>
    </w:p>
    <w:p>
      <w:pPr>
        <w:pStyle w:val="2"/>
        <w:keepNext w:val="0"/>
        <w:keepLines w:val="0"/>
        <w:widowControl/>
        <w:suppressLineNumbers w:val="0"/>
        <w:spacing w:line="375" w:lineRule="atLeast"/>
        <w:ind w:left="0" w:firstLine="645"/>
        <w:jc w:val="left"/>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 xml:space="preserve">（一）在台湾参加“学测”考试，成绩达顶标级(占参考人数总数的前12%)、前标级(占参考人数总数的前25%)的台湾高中毕业生； </w:t>
      </w:r>
    </w:p>
    <w:p>
      <w:pPr>
        <w:pStyle w:val="2"/>
        <w:keepNext w:val="0"/>
        <w:keepLines w:val="0"/>
        <w:widowControl/>
        <w:suppressLineNumbers w:val="0"/>
        <w:spacing w:line="375" w:lineRule="atLeast"/>
        <w:ind w:left="0" w:firstLine="645"/>
        <w:jc w:val="left"/>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 xml:space="preserve">（二）在大陆办学的台商子弟(女)学校，其高中毕业生在台湾参加“学测”考试，成绩达均标级(占参考人数总数的前50%)。 </w:t>
      </w:r>
    </w:p>
    <w:p>
      <w:pPr>
        <w:pStyle w:val="2"/>
        <w:keepNext w:val="0"/>
        <w:keepLines w:val="0"/>
        <w:widowControl/>
        <w:suppressLineNumbers w:val="0"/>
        <w:spacing w:line="375" w:lineRule="atLeast"/>
        <w:ind w:left="0" w:firstLine="645"/>
        <w:jc w:val="left"/>
        <w:rPr>
          <w:rFonts w:hint="eastAsia" w:ascii="新細明體" w:hAnsi="新細明體" w:eastAsia="新細明體" w:cs="新細明體"/>
          <w:sz w:val="21"/>
          <w:szCs w:val="21"/>
        </w:rPr>
      </w:pPr>
      <w:r>
        <w:rPr>
          <w:rFonts w:hint="eastAsia" w:ascii="新細明體" w:hAnsi="新細明體" w:eastAsia="新細明體" w:cs="新細明體"/>
          <w:sz w:val="21"/>
          <w:szCs w:val="21"/>
          <w:bdr w:val="none" w:color="auto" w:sz="0" w:space="0"/>
        </w:rPr>
        <w:t> </w:t>
      </w:r>
      <w:bookmarkStart w:id="0" w:name="_GoBack"/>
      <w:bookmarkEnd w:id="0"/>
    </w:p>
    <w:p>
      <w:pPr>
        <w:pStyle w:val="2"/>
        <w:keepNext w:val="0"/>
        <w:keepLines w:val="0"/>
        <w:widowControl/>
        <w:suppressLineNumbers w:val="0"/>
        <w:spacing w:line="375" w:lineRule="atLeast"/>
        <w:ind w:left="0" w:firstLine="420"/>
        <w:jc w:val="left"/>
        <w:rPr>
          <w:rFonts w:hint="eastAsia" w:ascii="新細明體" w:hAnsi="新細明體" w:eastAsia="新細明體" w:cs="新細明體"/>
          <w:sz w:val="21"/>
          <w:szCs w:val="21"/>
        </w:rPr>
      </w:pPr>
      <w:r>
        <w:rPr>
          <w:rStyle w:val="4"/>
          <w:rFonts w:hint="eastAsia" w:ascii="新細明體" w:hAnsi="新細明體" w:eastAsia="新細明體" w:cs="新細明體"/>
          <w:sz w:val="24"/>
          <w:szCs w:val="24"/>
          <w:bdr w:val="none" w:color="auto" w:sz="0" w:space="0"/>
        </w:rPr>
        <w:t xml:space="preserve">四、申请材料 </w:t>
      </w:r>
    </w:p>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1、《广州中医药大学免试招收台湾地区高中毕业生入学申请表》（可在本网页下载）；</w:t>
      </w:r>
    </w:p>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2、学测成绩通知单影印本（注意，请完整影印成绩通知单，成绩单右下角的报名序号需清楚显示）；</w:t>
      </w:r>
    </w:p>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3、中学成绩证明影印本；</w:t>
      </w:r>
    </w:p>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4、台胞证影印本；</w:t>
      </w:r>
    </w:p>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5、身份证影印本；</w:t>
      </w:r>
    </w:p>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6、一寸证件照（大小为：22mm×32mm，背景颜色不限）；</w:t>
      </w:r>
    </w:p>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7、其他支撑材料（如个人自传、获奖情况等）</w:t>
      </w:r>
    </w:p>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1"/>
          <w:szCs w:val="21"/>
          <w:bdr w:val="none" w:color="auto" w:sz="0" w:space="0"/>
        </w:rPr>
        <w:t> </w:t>
      </w:r>
    </w:p>
    <w:p>
      <w:pPr>
        <w:pStyle w:val="2"/>
        <w:keepNext w:val="0"/>
        <w:keepLines w:val="0"/>
        <w:widowControl/>
        <w:suppressLineNumbers w:val="0"/>
        <w:spacing w:line="375" w:lineRule="atLeast"/>
        <w:ind w:left="0" w:firstLine="420"/>
        <w:jc w:val="left"/>
        <w:rPr>
          <w:rFonts w:hint="eastAsia" w:ascii="新細明體" w:hAnsi="新細明體" w:eastAsia="新細明體" w:cs="新細明體"/>
          <w:sz w:val="21"/>
          <w:szCs w:val="21"/>
        </w:rPr>
      </w:pPr>
      <w:r>
        <w:rPr>
          <w:rStyle w:val="4"/>
          <w:rFonts w:hint="eastAsia" w:ascii="新細明體" w:hAnsi="新細明體" w:eastAsia="新細明體" w:cs="新細明體"/>
          <w:sz w:val="24"/>
          <w:szCs w:val="24"/>
          <w:bdr w:val="none" w:color="auto" w:sz="0" w:space="0"/>
        </w:rPr>
        <w:t>五、报名方式</w:t>
      </w:r>
    </w:p>
    <w:p>
      <w:pPr>
        <w:pStyle w:val="2"/>
        <w:keepNext w:val="0"/>
        <w:keepLines w:val="0"/>
        <w:widowControl/>
        <w:suppressLineNumbers w:val="0"/>
        <w:spacing w:line="555" w:lineRule="atLeast"/>
        <w:ind w:left="0" w:firstLine="645"/>
        <w:jc w:val="left"/>
        <w:rPr>
          <w:rFonts w:hint="eastAsia" w:ascii="新細明體" w:hAnsi="新細明體" w:eastAsia="新細明體" w:cs="新細明體"/>
          <w:sz w:val="21"/>
          <w:szCs w:val="21"/>
        </w:rPr>
      </w:pPr>
      <w:r>
        <w:rPr>
          <w:rFonts w:hint="eastAsia" w:ascii="新細明體" w:hAnsi="新細明體" w:eastAsia="新細明體" w:cs="新細明體"/>
          <w:color w:val="333333"/>
          <w:sz w:val="24"/>
          <w:szCs w:val="24"/>
          <w:bdr w:val="none" w:color="auto" w:sz="0" w:space="0"/>
        </w:rPr>
        <w:t>请于201</w:t>
      </w:r>
      <w:r>
        <w:rPr>
          <w:rFonts w:hint="eastAsia" w:ascii="新細明體" w:hAnsi="新細明體" w:eastAsia="SimSun" w:cs="新細明體"/>
          <w:color w:val="333333"/>
          <w:sz w:val="24"/>
          <w:szCs w:val="24"/>
          <w:bdr w:val="none" w:color="auto" w:sz="0" w:space="0"/>
          <w:lang w:val="en-US" w:eastAsia="zh-CN"/>
        </w:rPr>
        <w:t>7</w:t>
      </w:r>
      <w:r>
        <w:rPr>
          <w:rFonts w:hint="eastAsia" w:ascii="新細明體" w:hAnsi="新細明體" w:eastAsia="新細明體" w:cs="新細明體"/>
          <w:color w:val="333333"/>
          <w:sz w:val="24"/>
          <w:szCs w:val="24"/>
          <w:bdr w:val="none" w:color="auto" w:sz="0" w:space="0"/>
        </w:rPr>
        <w:t>年5月30日前，</w:t>
      </w:r>
      <w:r>
        <w:rPr>
          <w:rFonts w:hint="eastAsia" w:ascii="新細明體" w:hAnsi="新細明體" w:eastAsia="新細明體" w:cs="新細明體"/>
          <w:sz w:val="24"/>
          <w:szCs w:val="24"/>
          <w:bdr w:val="none" w:color="auto" w:sz="0" w:space="0"/>
        </w:rPr>
        <w:t>将报名材料通过电邮（扫描件）及邮寄快递（影印本）的两种方式，缺一不可，递交给国际学院留学生及港澳台学生工作办公室。</w:t>
      </w:r>
    </w:p>
    <w:p>
      <w:pPr>
        <w:pStyle w:val="2"/>
        <w:keepNext w:val="0"/>
        <w:keepLines w:val="0"/>
        <w:widowControl/>
        <w:suppressLineNumbers w:val="0"/>
        <w:spacing w:line="555" w:lineRule="atLeast"/>
        <w:ind w:left="0" w:firstLine="645"/>
        <w:jc w:val="left"/>
        <w:rPr>
          <w:rFonts w:hint="eastAsia" w:ascii="新細明體" w:hAnsi="新細明體" w:eastAsia="新細明體" w:cs="新細明體"/>
          <w:sz w:val="21"/>
          <w:szCs w:val="21"/>
        </w:rPr>
      </w:pPr>
      <w:r>
        <w:rPr>
          <w:rFonts w:hint="eastAsia" w:ascii="新細明體" w:hAnsi="新細明體" w:eastAsia="新細明體" w:cs="新細明體"/>
          <w:sz w:val="21"/>
          <w:szCs w:val="21"/>
          <w:bdr w:val="none" w:color="auto" w:sz="0" w:space="0"/>
        </w:rPr>
        <w:t> </w:t>
      </w:r>
    </w:p>
    <w:p>
      <w:pPr>
        <w:pStyle w:val="2"/>
        <w:keepNext w:val="0"/>
        <w:keepLines w:val="0"/>
        <w:widowControl/>
        <w:suppressLineNumbers w:val="0"/>
        <w:spacing w:line="375" w:lineRule="atLeast"/>
        <w:ind w:left="0" w:firstLine="420"/>
        <w:jc w:val="left"/>
        <w:rPr>
          <w:rFonts w:hint="eastAsia" w:ascii="新細明體" w:hAnsi="新細明體" w:eastAsia="新細明體" w:cs="新細明體"/>
          <w:sz w:val="21"/>
          <w:szCs w:val="21"/>
        </w:rPr>
      </w:pPr>
      <w:r>
        <w:rPr>
          <w:rStyle w:val="4"/>
          <w:rFonts w:hint="eastAsia" w:ascii="新細明體" w:hAnsi="新細明體" w:eastAsia="新細明體" w:cs="新細明體"/>
          <w:sz w:val="24"/>
          <w:szCs w:val="24"/>
          <w:bdr w:val="none" w:color="auto" w:sz="0" w:space="0"/>
        </w:rPr>
        <w:t>六、录取原则</w:t>
      </w:r>
    </w:p>
    <w:p>
      <w:pPr>
        <w:pStyle w:val="2"/>
        <w:keepNext w:val="0"/>
        <w:keepLines w:val="0"/>
        <w:widowControl/>
        <w:suppressLineNumbers w:val="0"/>
        <w:spacing w:line="555" w:lineRule="atLeast"/>
        <w:ind w:left="0" w:firstLine="645"/>
        <w:jc w:val="left"/>
        <w:rPr>
          <w:rFonts w:hint="eastAsia" w:ascii="新細明體" w:hAnsi="新細明體" w:eastAsia="新細明體" w:cs="新細明體"/>
          <w:sz w:val="21"/>
          <w:szCs w:val="21"/>
        </w:rPr>
      </w:pPr>
      <w:r>
        <w:rPr>
          <w:rFonts w:hint="eastAsia" w:ascii="新細明體" w:hAnsi="新細明體" w:eastAsia="新細明體" w:cs="新細明體"/>
          <w:color w:val="333333"/>
          <w:sz w:val="24"/>
          <w:szCs w:val="24"/>
          <w:bdr w:val="none" w:color="auto" w:sz="0" w:space="0"/>
        </w:rPr>
        <w:t>1、学校汇总考生的学测成绩，经审核后报教育部考试中心核实确认后，组织专家评审，择优录取。 　</w:t>
      </w:r>
    </w:p>
    <w:p>
      <w:pPr>
        <w:pStyle w:val="2"/>
        <w:keepNext w:val="0"/>
        <w:keepLines w:val="0"/>
        <w:widowControl/>
        <w:suppressLineNumbers w:val="0"/>
        <w:spacing w:line="765" w:lineRule="atLeast"/>
        <w:ind w:left="0" w:firstLine="645"/>
        <w:rPr>
          <w:rFonts w:hint="eastAsia" w:ascii="新細明體" w:hAnsi="新細明體" w:eastAsia="新細明體" w:cs="新細明體"/>
          <w:sz w:val="21"/>
          <w:szCs w:val="21"/>
        </w:rPr>
      </w:pPr>
      <w:r>
        <w:rPr>
          <w:rStyle w:val="4"/>
          <w:rFonts w:hint="eastAsia" w:ascii="新細明體" w:hAnsi="新細明體" w:eastAsia="新細明體" w:cs="新細明體"/>
          <w:sz w:val="24"/>
          <w:szCs w:val="24"/>
          <w:bdr w:val="none" w:color="auto" w:sz="0" w:space="0"/>
        </w:rPr>
        <w:t>2、</w:t>
      </w:r>
      <w:r>
        <w:rPr>
          <w:rFonts w:hint="eastAsia" w:ascii="新細明體" w:hAnsi="新細明體" w:eastAsia="新細明體" w:cs="新細明體"/>
          <w:sz w:val="24"/>
          <w:szCs w:val="24"/>
          <w:bdr w:val="none" w:color="auto" w:sz="0" w:space="0"/>
        </w:rPr>
        <w:t>对符合我校录取条件的考生，我校将按教育部的有关规定办理录取手续，发放录取通知书。考生须按照我校录取通知书和入学须知规定的时间及要求来校报到。</w:t>
      </w:r>
    </w:p>
    <w:p>
      <w:pPr>
        <w:pStyle w:val="2"/>
        <w:keepNext w:val="0"/>
        <w:keepLines w:val="0"/>
        <w:widowControl/>
        <w:suppressLineNumbers w:val="0"/>
        <w:spacing w:line="76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3、考生身体健康状况的要求将执行教育部、卫生部、中国残疾人联合会制定并下发的《普通高等学校招生体检工作指导意见》。新生入学后，将根据有关规定进行身体检查，身体条件不符合要求的，将取消其入学资格；仅专业受限者，可商转其他专业。</w:t>
      </w:r>
    </w:p>
    <w:p>
      <w:pPr>
        <w:pStyle w:val="2"/>
        <w:keepNext w:val="0"/>
        <w:keepLines w:val="0"/>
        <w:widowControl/>
        <w:suppressLineNumbers w:val="0"/>
        <w:spacing w:line="375" w:lineRule="atLeast"/>
        <w:ind w:left="0" w:firstLine="420"/>
        <w:jc w:val="left"/>
        <w:rPr>
          <w:rFonts w:hint="eastAsia" w:ascii="新細明體" w:hAnsi="新細明體" w:eastAsia="新細明體" w:cs="新細明體"/>
          <w:sz w:val="21"/>
          <w:szCs w:val="21"/>
        </w:rPr>
      </w:pPr>
      <w:r>
        <w:rPr>
          <w:rStyle w:val="4"/>
          <w:rFonts w:hint="eastAsia" w:ascii="新細明體" w:hAnsi="新細明體" w:eastAsia="新細明體" w:cs="新細明體"/>
          <w:sz w:val="24"/>
          <w:szCs w:val="24"/>
          <w:bdr w:val="none" w:color="auto" w:sz="0" w:space="0"/>
        </w:rPr>
        <w:t>七、学费及住宿费</w:t>
      </w:r>
    </w:p>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学生入学时应按照学校规定缴纳学费和住宿费，学生学费、住宿费的收费标准按照广东省教育厅、广东省物价局的有关规定执行。目前收费标准如下：</w:t>
      </w:r>
    </w:p>
    <w:tbl>
      <w:tblPr>
        <w:tblW w:w="8414" w:type="dxa"/>
        <w:tblCellSpacing w:w="0"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
      <w:tblGrid>
        <w:gridCol w:w="2971"/>
        <w:gridCol w:w="54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blCellSpacing w:w="0" w:type="dxa"/>
        </w:trPr>
        <w:tc>
          <w:tcPr>
            <w:tcW w:w="2971" w:type="dxa"/>
            <w:tcBorders>
              <w:top w:val="single" w:color="auto" w:sz="6" w:space="0"/>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Style w:val="4"/>
                <w:rFonts w:hint="eastAsia" w:ascii="新細明體" w:hAnsi="新細明體" w:eastAsia="新細明體" w:cs="新細明體"/>
                <w:sz w:val="24"/>
                <w:szCs w:val="24"/>
                <w:bdr w:val="none" w:color="auto" w:sz="0" w:space="0"/>
              </w:rPr>
              <w:t>项目</w:t>
            </w:r>
          </w:p>
        </w:tc>
        <w:tc>
          <w:tcPr>
            <w:tcW w:w="5443" w:type="dxa"/>
            <w:tcBorders>
              <w:top w:val="single" w:color="auto" w:sz="6" w:space="0"/>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Style w:val="4"/>
                <w:rFonts w:hint="eastAsia" w:ascii="新細明體" w:hAnsi="新細明體" w:eastAsia="新細明體" w:cs="新細明體"/>
                <w:sz w:val="24"/>
                <w:szCs w:val="24"/>
                <w:bdr w:val="none" w:color="auto" w:sz="0" w:space="0"/>
              </w:rPr>
              <w:t>收费标准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2971"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spacing w:line="555" w:lineRule="atLeast"/>
              <w:ind w:left="0" w:firstLine="420"/>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中医学、针灸推拿学</w:t>
            </w:r>
          </w:p>
        </w:tc>
        <w:tc>
          <w:tcPr>
            <w:tcW w:w="5443"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spacing w:line="555" w:lineRule="atLeast"/>
              <w:ind w:left="0" w:firstLine="420"/>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RMB   7660元／生·学年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2971"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spacing w:line="555" w:lineRule="atLeast"/>
              <w:ind w:left="0" w:firstLine="420"/>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住宿费(单人间)</w:t>
            </w:r>
          </w:p>
        </w:tc>
        <w:tc>
          <w:tcPr>
            <w:tcW w:w="5443"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spacing w:line="555" w:lineRule="atLeast"/>
              <w:ind w:left="0" w:firstLine="420"/>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大学城校区：RMB 16000元／生·学年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2971" w:type="dxa"/>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spacing w:line="555" w:lineRule="atLeast"/>
              <w:ind w:left="0" w:firstLine="420"/>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住宿费(双人房(两人合住))</w:t>
            </w:r>
          </w:p>
        </w:tc>
        <w:tc>
          <w:tcPr>
            <w:tcW w:w="5443"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spacing w:line="555" w:lineRule="atLeast"/>
              <w:ind w:left="0" w:firstLine="420"/>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大学城校区：RMB 9600元／生·学年</w:t>
            </w:r>
          </w:p>
        </w:tc>
      </w:tr>
    </w:tbl>
    <w:p>
      <w:pPr>
        <w:pStyle w:val="2"/>
        <w:keepNext w:val="0"/>
        <w:keepLines w:val="0"/>
        <w:widowControl/>
        <w:suppressLineNumbers w:val="0"/>
        <w:spacing w:line="375" w:lineRule="atLeast"/>
        <w:ind w:left="0" w:firstLine="420"/>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注：</w:t>
      </w:r>
      <w:r>
        <w:rPr>
          <w:rFonts w:hint="eastAsia" w:ascii="新細明體" w:hAnsi="新細明體" w:eastAsia="新細明體" w:cs="新細明體"/>
          <w:sz w:val="24"/>
          <w:szCs w:val="24"/>
          <w:u w:val="single"/>
          <w:bdr w:val="none" w:color="auto" w:sz="0" w:space="0"/>
        </w:rPr>
        <w:t>以上收费标准如有变动，按照新标准执行</w:t>
      </w:r>
      <w:r>
        <w:rPr>
          <w:rFonts w:hint="eastAsia" w:ascii="新細明體" w:hAnsi="新細明體" w:eastAsia="新細明體" w:cs="新細明體"/>
          <w:sz w:val="24"/>
          <w:szCs w:val="24"/>
          <w:bdr w:val="none" w:color="auto" w:sz="0" w:space="0"/>
        </w:rPr>
        <w:t>。</w:t>
      </w:r>
    </w:p>
    <w:p>
      <w:pPr>
        <w:pStyle w:val="2"/>
        <w:keepNext w:val="0"/>
        <w:keepLines w:val="0"/>
        <w:widowControl/>
        <w:suppressLineNumbers w:val="0"/>
        <w:spacing w:line="555" w:lineRule="atLeast"/>
        <w:ind w:left="0" w:firstLine="420"/>
        <w:rPr>
          <w:rStyle w:val="4"/>
          <w:rFonts w:hint="eastAsia" w:ascii="新細明體" w:hAnsi="新細明體" w:eastAsia="新細明體" w:cs="新細明體"/>
          <w:sz w:val="24"/>
          <w:szCs w:val="24"/>
          <w:bdr w:val="none" w:color="auto" w:sz="0" w:space="0"/>
        </w:rPr>
      </w:pPr>
    </w:p>
    <w:p>
      <w:pPr>
        <w:pStyle w:val="2"/>
        <w:keepNext w:val="0"/>
        <w:keepLines w:val="0"/>
        <w:widowControl/>
        <w:suppressLineNumbers w:val="0"/>
        <w:spacing w:line="555" w:lineRule="atLeast"/>
        <w:ind w:left="0" w:firstLine="420"/>
        <w:rPr>
          <w:rFonts w:hint="eastAsia" w:ascii="新細明體" w:hAnsi="新細明體" w:eastAsia="新細明體" w:cs="新細明體"/>
          <w:sz w:val="21"/>
          <w:szCs w:val="21"/>
        </w:rPr>
      </w:pPr>
      <w:r>
        <w:rPr>
          <w:rStyle w:val="4"/>
          <w:rFonts w:hint="eastAsia" w:ascii="新細明體" w:hAnsi="新細明體" w:eastAsia="新細明體" w:cs="新細明體"/>
          <w:sz w:val="24"/>
          <w:szCs w:val="24"/>
          <w:bdr w:val="none" w:color="auto" w:sz="0" w:space="0"/>
        </w:rPr>
        <w:t>八、联系方式</w:t>
      </w:r>
    </w:p>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联系人：陆老师</w:t>
      </w:r>
    </w:p>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地 址：广东省广州市番禺区大学城外环东路232号广州中医药大学办公楼621办公室</w:t>
      </w:r>
    </w:p>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电 话：86-20-39358354</w:t>
      </w:r>
    </w:p>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传 真：86-20-39358478</w:t>
      </w:r>
    </w:p>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电 邮：021210@gzucm.edu.cn</w:t>
      </w:r>
    </w:p>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招生网页：</w:t>
      </w:r>
      <w:r>
        <w:rPr>
          <w:rFonts w:hint="eastAsia" w:ascii="新細明體" w:hAnsi="新細明體" w:eastAsia="新細明體" w:cs="新細明體"/>
          <w:sz w:val="24"/>
          <w:szCs w:val="24"/>
          <w:bdr w:val="none" w:color="auto" w:sz="0" w:space="0"/>
        </w:rPr>
        <w:fldChar w:fldCharType="begin"/>
      </w:r>
      <w:r>
        <w:rPr>
          <w:rFonts w:hint="eastAsia" w:ascii="新細明體" w:hAnsi="新細明體" w:eastAsia="新細明體" w:cs="新細明體"/>
          <w:sz w:val="24"/>
          <w:szCs w:val="24"/>
          <w:bdr w:val="none" w:color="auto" w:sz="0" w:space="0"/>
        </w:rPr>
        <w:instrText xml:space="preserve"> HYPERLINK "http://studyoverseas.gzucm.edu.cn/" </w:instrText>
      </w:r>
      <w:r>
        <w:rPr>
          <w:rFonts w:hint="eastAsia" w:ascii="新細明體" w:hAnsi="新細明體" w:eastAsia="新細明體" w:cs="新細明體"/>
          <w:sz w:val="24"/>
          <w:szCs w:val="24"/>
          <w:bdr w:val="none" w:color="auto" w:sz="0" w:space="0"/>
        </w:rPr>
        <w:fldChar w:fldCharType="separate"/>
      </w:r>
      <w:r>
        <w:rPr>
          <w:rStyle w:val="6"/>
          <w:rFonts w:hint="eastAsia" w:ascii="新細明體" w:hAnsi="新細明體" w:eastAsia="新細明體" w:cs="新細明體"/>
          <w:color w:val="494949"/>
          <w:sz w:val="24"/>
          <w:szCs w:val="24"/>
          <w:bdr w:val="none" w:color="auto" w:sz="0" w:space="0"/>
        </w:rPr>
        <w:t>http://studyoverseas.gzucm.edu.cn/</w:t>
      </w:r>
      <w:r>
        <w:rPr>
          <w:rFonts w:hint="eastAsia" w:ascii="新細明體" w:hAnsi="新細明體" w:eastAsia="新細明體" w:cs="新細明體"/>
          <w:sz w:val="24"/>
          <w:szCs w:val="24"/>
          <w:bdr w:val="none" w:color="auto" w:sz="0" w:space="0"/>
        </w:rPr>
        <w:fldChar w:fldCharType="end"/>
      </w:r>
    </w:p>
    <w:p>
      <w:pPr>
        <w:pStyle w:val="2"/>
        <w:keepNext w:val="0"/>
        <w:keepLines w:val="0"/>
        <w:widowControl/>
        <w:suppressLineNumbers w:val="0"/>
        <w:spacing w:line="555" w:lineRule="atLeast"/>
        <w:ind w:left="0" w:firstLine="420"/>
        <w:rPr>
          <w:rFonts w:hint="eastAsia" w:ascii="新細明體" w:hAnsi="新細明體" w:eastAsia="新細明體" w:cs="新細明體"/>
          <w:sz w:val="21"/>
          <w:szCs w:val="21"/>
        </w:rPr>
      </w:pPr>
      <w:r>
        <w:rPr>
          <w:rStyle w:val="4"/>
          <w:rFonts w:hint="eastAsia" w:ascii="新細明體" w:hAnsi="新細明體" w:eastAsia="新細明體" w:cs="新細明體"/>
          <w:sz w:val="24"/>
          <w:szCs w:val="24"/>
          <w:bdr w:val="none" w:color="auto" w:sz="0" w:space="0"/>
        </w:rPr>
        <w:t>九、其他</w:t>
      </w:r>
    </w:p>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1、未尽事宜按照国家有关政策、法规和文件执行。</w:t>
      </w:r>
    </w:p>
    <w:p>
      <w:pPr>
        <w:pStyle w:val="2"/>
        <w:keepNext w:val="0"/>
        <w:keepLines w:val="0"/>
        <w:widowControl/>
        <w:suppressLineNumbers w:val="0"/>
        <w:spacing w:line="555" w:lineRule="atLeast"/>
        <w:ind w:left="0" w:firstLine="645"/>
        <w:rPr>
          <w:rFonts w:hint="eastAsia" w:ascii="新細明體" w:hAnsi="新細明體" w:eastAsia="新細明體" w:cs="新細明體"/>
          <w:sz w:val="21"/>
          <w:szCs w:val="21"/>
        </w:rPr>
      </w:pPr>
      <w:r>
        <w:rPr>
          <w:rFonts w:hint="eastAsia" w:ascii="新細明體" w:hAnsi="新細明體" w:eastAsia="新細明體" w:cs="新細明體"/>
          <w:sz w:val="24"/>
          <w:szCs w:val="24"/>
          <w:bdr w:val="none" w:color="auto" w:sz="0" w:space="0"/>
        </w:rPr>
        <w:t>2、本章程的解释权归广州中医药大学国际学院。</w:t>
      </w:r>
    </w:p>
    <w:p>
      <w:pPr>
        <w:pStyle w:val="2"/>
        <w:keepNext w:val="0"/>
        <w:keepLines w:val="0"/>
        <w:widowControl/>
        <w:suppressLineNumbers w:val="0"/>
        <w:spacing w:line="555" w:lineRule="atLeast"/>
        <w:ind w:left="0" w:firstLine="420"/>
        <w:rPr>
          <w:rFonts w:hint="eastAsia" w:ascii="新細明體" w:hAnsi="新細明體" w:eastAsia="新細明體" w:cs="新細明體"/>
          <w:sz w:val="21"/>
          <w:szCs w:val="21"/>
        </w:rPr>
      </w:pPr>
      <w:r>
        <w:rPr>
          <w:rFonts w:hint="eastAsia" w:ascii="新細明體" w:hAnsi="新細明體" w:eastAsia="新細明體" w:cs="新細明體"/>
          <w:sz w:val="21"/>
          <w:szCs w:val="21"/>
          <w:bdr w:val="none" w:color="auto" w:sz="0" w:space="0"/>
        </w:rPr>
        <w:t> </w:t>
      </w:r>
    </w:p>
    <w:p>
      <w:pPr>
        <w:pStyle w:val="2"/>
        <w:keepNext w:val="0"/>
        <w:keepLines w:val="0"/>
        <w:widowControl/>
        <w:suppressLineNumbers w:val="0"/>
        <w:spacing w:line="555" w:lineRule="atLeast"/>
        <w:ind w:left="0" w:firstLine="645"/>
      </w:pPr>
      <w:r>
        <w:rPr>
          <w:rFonts w:hint="eastAsia" w:ascii="新細明體" w:hAnsi="新細明體" w:eastAsia="新細明體" w:cs="新細明體"/>
          <w:sz w:val="24"/>
          <w:szCs w:val="24"/>
          <w:bdr w:val="none" w:color="auto" w:sz="0" w:space="0"/>
        </w:rPr>
        <w:t>优越的校园环境，良好的师资条件，便利的水陆交通，相同的方言气候和生活习惯，广州欢迎各位香港学生到学校学习、深造，广州中医药大学热忱地期待您的到来！</w:t>
      </w:r>
    </w:p>
    <w:p>
      <w:pPr>
        <w:jc w:val="center"/>
        <w:rPr>
          <w:rFonts w:ascii="SimSun" w:hAnsi="SimSun" w:eastAsia="SimSun" w:cs="SimSun"/>
          <w:sz w:val="24"/>
          <w:szCs w:val="24"/>
          <w:bdr w:val="none" w:color="auto" w:sz="0" w:space="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FangSong">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華康儷中宋">
    <w:panose1 w:val="02020509000000000000"/>
    <w:charset w:val="88"/>
    <w:family w:val="auto"/>
    <w:pitch w:val="default"/>
    <w:sig w:usb0="80000001" w:usb1="28091800" w:usb2="00000016" w:usb3="00000000" w:csb0="00100000" w:csb1="00000000"/>
  </w:font>
  <w:font w:name="新細明體">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AF5652"/>
    <w:rsid w:val="2BAF5652"/>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 w:type="character" w:styleId="5">
    <w:name w:val="FollowedHyperlink"/>
    <w:basedOn w:val="3"/>
    <w:uiPriority w:val="0"/>
    <w:rPr>
      <w:color w:val="333333"/>
      <w:u w:val="none"/>
    </w:rPr>
  </w:style>
  <w:style w:type="character" w:styleId="6">
    <w:name w:val="Hyperlink"/>
    <w:basedOn w:val="3"/>
    <w:uiPriority w:val="0"/>
    <w:rPr>
      <w:color w:val="333333"/>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2017-03-07T08:58:00Z</dcterms:created>
  <dc:creator>user</dc:creator>
  <cp:lastModifiedBy>user</cp:lastModifiedBy>
  <dcterms:modified xsi:type="dcterms:W3CDTF">2017-03-07T09:18:05Z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