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spacing w:line="1200" w:lineRule="exact"/>
        <w:rPr>
          <w:rFonts w:ascii="標楷體" w:hAnsi="標楷體" w:eastAsia="標楷體" w:cs="標楷體"/>
          <w:sz w:val="52"/>
          <w:szCs w:val="52"/>
        </w:rPr>
      </w:pPr>
      <w:r>
        <w:rPr>
          <w:rFonts w:ascii="標楷體" w:hAnsi="標楷體" w:eastAsia="標楷體" w:cs="標楷體"/>
          <w:sz w:val="52"/>
          <w:szCs w:val="52"/>
          <w:lang w:val="en-US"/>
        </w:rPr>
        <w:drawing>
          <wp:inline distT="0" distB="0" distL="0" distR="0">
            <wp:extent cx="640080" cy="554990"/>
            <wp:effectExtent l="0" t="0" r="0" b="0"/>
            <wp:docPr id="1073741825" name="officeArt object" descr="GetAttachmen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GetAttachment[1]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54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標楷體" w:hAnsi="標楷體" w:eastAsia="標楷體" w:cs="標楷體"/>
          <w:sz w:val="52"/>
          <w:szCs w:val="52"/>
          <w:lang w:val="zh-TW" w:eastAsia="zh-TW"/>
        </w:rPr>
        <w:t>華東台商子女學校家長會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主题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:2016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學年度第一學期家長會家長代表大會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(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一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)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時間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:2016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年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9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月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27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日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(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二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) 0930--1200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地點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多功能教室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主持人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廖月會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记錄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行政组副會長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劉兆翔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出席人员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各班家長代表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應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到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:92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人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實到:76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人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學校人員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校長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王先念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副校長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鄭京榮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總務處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郭主任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學務處李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主任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輔導室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殷主任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</w:pP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議程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一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校方滙報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:1.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校長致詞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2.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介绍各處室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3.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各處意見反應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二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現任家長會報告</w:t>
      </w:r>
      <w:bookmarkStart w:id="0" w:name="_GoBack"/>
      <w:bookmarkEnd w:id="0"/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三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.選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新任家長會成员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校長致詞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1.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感谢廖會長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她是我第一位認識的家長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整個家長會是學校重要的支柱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學校跟家長一起手牽手來照顧我們的孩子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2.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感谢家長會今年送的教師節禮物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非常實用的禮物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3.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各處室是學校跟家長會的窗口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目前學生人數已經有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1465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人相對去年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1369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人成長了接近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100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人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接下来南京校區也準備成立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需要家長會更多的支持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4.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今年是建校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15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周年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,11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月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5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日请大家一起來參加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,以後校慶活動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會改到上學校舉行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5.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學校跟企業的成果展現時間不一樣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,企業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是即時反應結果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教育則需要時間才能看出效果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面對學生人數一直增加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相對要處理的問題也會不斷出現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我跟各位家長保證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不用大聲我也一樣都聽得到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每位學校的同仁都非常認真我也要求要即時反應所有出現的問題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我常問自己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: Is this school good enough?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一定可以做得更好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再次感谢大家的支持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各處室报告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Microsoft YaHei" w:hAnsi="Microsoft YaHei" w:eastAsia="Microsoft YaHei" w:cs="Microsoft YaHei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總務處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郭主任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                                                                         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Microsoft YaHei" w:hAnsi="Microsoft YaHei" w:eastAsia="Microsoft YaHei" w:cs="Microsoft YaHei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 1.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今年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餐飲承包廠商為龍鳳食品子公司，由於開學時所出現的菜不夠狀況，目前已改善。另菜過於清淡屬於眾口難調，所以額外加一調料區供學生使用。                                                                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2.由於附近住家增多，致使老鼠也橫行，因校內有幼小學童怕誤食所以不能投設毒鼠藥，僅能放置捕鼠器及粘鼠板但效果不彰，仍在努力改善中。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Microsoft YaHei" w:hAnsi="Microsoft YaHei" w:eastAsia="Microsoft YaHei" w:cs="Microsoft YaHei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學務處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李主任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                                                                 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1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.這學期有兩次校外活動，一是小學11／9～11／11教學旅行，上海迪士尼遊。   二是高二境外交流活動12／4～12／9，暫定日本關西地區的高校。 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Microsoft YaHei" w:hAnsi="Microsoft YaHei" w:eastAsia="Microsoft YaHei" w:cs="Microsoft YaHei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教務處: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鄭副校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                        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1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.除正常課程外會針對前段學生給予增廣課程，對後段則有補救課程。                                          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2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.校方鼓勵學生參與各項國內外才藝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.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3.外教新請了三位，加拿大多倫多大學畢業（華裔）丶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新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加坡老師（華裔）丶西交利物浦大學畢（擁雙學位）實力經驗豐富。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二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家長會报告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會長报告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: 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財務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去年共有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1182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位學生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總戶數為862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戶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,實收會費861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戶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43050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元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支出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62049.1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元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結餘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134137.8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元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,實際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支出明細請參考各位手上拿到的資料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會長補充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</w:p>
    <w:p>
      <w:pPr>
        <w:framePr w:w="0" w:hRule="auto" w:wrap="auto" w:vAnchor="margin" w:hAnchor="text" w:yAlign="inline"/>
        <w:tabs>
          <w:tab w:val="left" w:pos="720"/>
        </w:tabs>
        <w:jc w:val="left"/>
        <w:rPr>
          <w:rFonts w:ascii="Microsoft YaHei" w:hAnsi="Microsoft YaHei" w:eastAsia="Microsoft YaHei" w:cs="Microsoft YaHei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家長會費收費採一戶一繳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如果有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位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(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含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)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以上小朋友就讀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則只收年級最小的那位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,結餘款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越来越多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,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目前都是放在學校的保險箱中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.                                                           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三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.改選家長會會長及各組組長委員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: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選舉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結果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:602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黄清崇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  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教務副會長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:201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何世浩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常委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:802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王麗君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202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朱國玢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二孝楊澤雄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生活副會長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:802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邱志榮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常委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:101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林紹貴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三愛楊月娥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701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張瑜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903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蔡淑卿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財務副會長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:703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張鳳玉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常委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:401吳秋汶 三忠張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玫靖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活動副會長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:202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張若慈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常委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:401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李英如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二愛黄明珠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  <w:color w:val="313131"/>
          <w:kern w:val="0"/>
          <w:u w:color="313131"/>
        </w:rPr>
      </w:pP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行政副會長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:一仁林嘉玲 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常委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>:101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王莉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  <w:r>
        <w:rPr>
          <w:rFonts w:ascii="新細明體" w:hAnsi="新細明體" w:eastAsia="新細明體" w:cs="新細明體"/>
          <w:color w:val="313131"/>
          <w:kern w:val="0"/>
          <w:u w:color="313131"/>
          <w:lang w:val="zh-TW" w:eastAsia="zh-TW"/>
        </w:rPr>
        <w:t>一孝許瑞凰</w:t>
      </w:r>
      <w:r>
        <w:rPr>
          <w:rFonts w:ascii="Microsoft YaHei" w:hAnsi="Microsoft YaHei" w:eastAsia="Microsoft YaHei" w:cs="Microsoft YaHei"/>
          <w:color w:val="313131"/>
          <w:kern w:val="0"/>
          <w:u w:color="313131"/>
          <w:lang w:val="zh-TW" w:eastAsia="zh-TW"/>
        </w:rPr>
        <w:t xml:space="preserve"> </w:t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</w:rPr>
      </w:pPr>
      <w:r>
        <w:drawing>
          <wp:inline distT="0" distB="0" distL="0" distR="0">
            <wp:extent cx="5270500" cy="3952875"/>
            <wp:effectExtent l="0" t="0" r="0" b="0"/>
            <wp:docPr id="1073741826" name="officeArt object" descr="C:\Users\ADMINI~1\AppData\Local\Temp\WeChat Files\60993503608420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C:\Users\ADMINI~1\AppData\Local\Temp\WeChat Files\60993503608420627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</w:rPr>
      </w:pPr>
      <w:r>
        <w:drawing>
          <wp:inline distT="0" distB="0" distL="0" distR="0">
            <wp:extent cx="5270500" cy="3952875"/>
            <wp:effectExtent l="0" t="0" r="0" b="0"/>
            <wp:docPr id="1073741827" name="officeArt object" descr="C:\Users\ADMINI~1\AppData\Local\Temp\WeChat Files\770903792859498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C:\Users\ADMINI~1\AppData\Local\Temp\WeChat Files\77090379285949801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rPr>
          <w:rFonts w:ascii="新細明體" w:hAnsi="新細明體" w:eastAsia="新細明體" w:cs="新細明體"/>
        </w:rPr>
      </w:pPr>
      <w:r>
        <w:drawing>
          <wp:inline distT="0" distB="0" distL="0" distR="0">
            <wp:extent cx="5270500" cy="3952875"/>
            <wp:effectExtent l="0" t="0" r="0" b="0"/>
            <wp:docPr id="1073741828" name="officeArt object" descr="C:\Users\ADMINI~1\AppData\Local\Temp\WeChat Files\74652146078904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C:\Users\ADMINI~1\AppData\Local\Temp\WeChat Files\74652146078904394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1630680</wp:posOffset>
            </wp:positionH>
            <wp:positionV relativeFrom="page">
              <wp:posOffset>2244725</wp:posOffset>
            </wp:positionV>
            <wp:extent cx="3952875" cy="5270500"/>
            <wp:effectExtent l="0" t="0" r="0" b="0"/>
            <wp:wrapTopAndBottom/>
            <wp:docPr id="1073741829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27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1801495</wp:posOffset>
            </wp:positionH>
            <wp:positionV relativeFrom="page">
              <wp:posOffset>1188720</wp:posOffset>
            </wp:positionV>
            <wp:extent cx="3952875" cy="5270500"/>
            <wp:effectExtent l="0" t="0" r="0" b="0"/>
            <wp:wrapTopAndBottom/>
            <wp:docPr id="1073741830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27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1801495</wp:posOffset>
            </wp:positionH>
            <wp:positionV relativeFrom="page">
              <wp:posOffset>878205</wp:posOffset>
            </wp:positionV>
            <wp:extent cx="3952875" cy="5270500"/>
            <wp:effectExtent l="0" t="0" r="0" b="0"/>
            <wp:wrapTopAndBottom/>
            <wp:docPr id="107374183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fficeArt objec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27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1801495</wp:posOffset>
            </wp:positionH>
            <wp:positionV relativeFrom="page">
              <wp:posOffset>1050290</wp:posOffset>
            </wp:positionV>
            <wp:extent cx="3952875" cy="5270500"/>
            <wp:effectExtent l="0" t="0" r="0" b="0"/>
            <wp:wrapTopAndBottom/>
            <wp:docPr id="107374183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fficeArt object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27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1768475</wp:posOffset>
            </wp:positionH>
            <wp:positionV relativeFrom="page">
              <wp:posOffset>808355</wp:posOffset>
            </wp:positionV>
            <wp:extent cx="4019550" cy="7145655"/>
            <wp:effectExtent l="0" t="0" r="0" b="0"/>
            <wp:wrapTopAndBottom/>
            <wp:docPr id="107374183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fficeArt object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9518" cy="71458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framePr w:w="0" w:hRule="auto" w:wrap="auto" w:vAnchor="margin" w:hAnchor="text" w:yAlign="inline"/>
      </w:pPr>
      <w:r>
        <w:drawing>
          <wp:inline distT="0" distB="0" distL="0" distR="0">
            <wp:extent cx="5270500" cy="3952875"/>
            <wp:effectExtent l="0" t="0" r="0" b="0"/>
            <wp:docPr id="1073741834" name="officeArt object" descr="C:\Users\ADMINI~1\AppData\Local\Temp\WeChat Files\61024836828118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C:\Users\ADMINI~1\AppData\Local\Temp\WeChat Files\610248368281180983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roman"/>
    <w:pitch w:val="default"/>
    <w:sig w:usb0="00000003" w:usb1="082E0000" w:usb2="00000016" w:usb3="00000000" w:csb0="0010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YaHei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69159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頁首與頁尾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2016-10-08T02:43:19Z</dcterms:created>
  <dc:creator>user</dc:creator>
  <cp:lastModifiedBy>user</cp:lastModifiedBy>
  <dcterms:modified xsi:type="dcterms:W3CDTF">2016-10-08T02:44:02Z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